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80"/>
          <w:szCs w:val="80"/>
        </w:rPr>
        <w:id w:val="-492644932"/>
        <w:docPartObj>
          <w:docPartGallery w:val="Cover Pages"/>
          <w:docPartUnique/>
        </w:docPartObj>
      </w:sdtPr>
      <w:sdtEndPr>
        <w:rPr>
          <w:rFonts w:ascii="標楷體" w:eastAsia="標楷體" w:hAnsi="標楷體" w:cs="Times New Roman"/>
          <w:kern w:val="2"/>
          <w:sz w:val="32"/>
          <w:szCs w:val="32"/>
          <w:shd w:val="pct15" w:color="auto" w:fill="FFFFFF"/>
        </w:rPr>
      </w:sdtEndPr>
      <w:sdtContent>
        <w:tbl>
          <w:tblPr>
            <w:tblpPr w:leftFromText="180" w:rightFromText="180" w:vertAnchor="page" w:horzAnchor="margin" w:tblpY="4561"/>
            <w:tblW w:w="5000" w:type="pct"/>
            <w:tblLook w:val="04A0" w:firstRow="1" w:lastRow="0" w:firstColumn="1" w:lastColumn="0" w:noHBand="0" w:noVBand="1"/>
          </w:tblPr>
          <w:tblGrid>
            <w:gridCol w:w="9855"/>
          </w:tblGrid>
          <w:tr w:rsidR="00671062" w:rsidRPr="00671062" w:rsidTr="00F6571E">
            <w:trPr>
              <w:trHeight w:val="1440"/>
            </w:trPr>
            <w:sdt>
              <w:sdtPr>
                <w:rPr>
                  <w:rFonts w:asciiTheme="majorHAnsi" w:eastAsiaTheme="majorEastAsia" w:hAnsiTheme="majorHAnsi" w:cstheme="majorBidi"/>
                  <w:sz w:val="80"/>
                  <w:szCs w:val="80"/>
                </w:rPr>
                <w:alias w:val="標題"/>
                <w:id w:val="15524250"/>
                <w:placeholder>
                  <w:docPart w:val="39887EFFDF144993BC5B68FAAFF40391"/>
                </w:placeholder>
                <w:dataBinding w:prefixMappings="xmlns:ns0='http://schemas.openxmlformats.org/package/2006/metadata/core-properties' xmlns:ns1='http://purl.org/dc/elements/1.1/'" w:xpath="/ns0:coreProperties[1]/ns1:title[1]" w:storeItemID="{6C3C8BC8-F283-45AE-878A-BAB7291924A1}"/>
                <w:text/>
              </w:sdtPr>
              <w:sdtEndPr>
                <w:rPr>
                  <w:rFonts w:hint="eastAsia"/>
                  <w:b/>
                </w:rPr>
              </w:sdtEndPr>
              <w:sdtContent>
                <w:tc>
                  <w:tcPr>
                    <w:tcW w:w="5000" w:type="pct"/>
                    <w:tcBorders>
                      <w:bottom w:val="single" w:sz="4" w:space="0" w:color="5B9BD5" w:themeColor="accent1"/>
                    </w:tcBorders>
                    <w:vAlign w:val="center"/>
                  </w:tcPr>
                  <w:p w:rsidR="00671062" w:rsidRDefault="00671062" w:rsidP="00F6571E">
                    <w:pPr>
                      <w:pStyle w:val="a9"/>
                      <w:jc w:val="center"/>
                      <w:rPr>
                        <w:rFonts w:asciiTheme="majorHAnsi" w:eastAsiaTheme="majorEastAsia" w:hAnsiTheme="majorHAnsi" w:cstheme="majorBidi"/>
                        <w:sz w:val="80"/>
                        <w:szCs w:val="80"/>
                      </w:rPr>
                    </w:pPr>
                    <w:r w:rsidRPr="00671062">
                      <w:rPr>
                        <w:rFonts w:asciiTheme="majorHAnsi" w:eastAsiaTheme="majorEastAsia" w:hAnsiTheme="majorHAnsi" w:cstheme="majorBidi" w:hint="eastAsia"/>
                        <w:b/>
                        <w:sz w:val="80"/>
                        <w:szCs w:val="80"/>
                      </w:rPr>
                      <w:t>公務人員退休資遣撫</w:t>
                    </w:r>
                    <w:proofErr w:type="gramStart"/>
                    <w:r w:rsidRPr="00671062">
                      <w:rPr>
                        <w:rFonts w:asciiTheme="majorHAnsi" w:eastAsiaTheme="majorEastAsia" w:hAnsiTheme="majorHAnsi" w:cstheme="majorBidi" w:hint="eastAsia"/>
                        <w:b/>
                        <w:sz w:val="80"/>
                        <w:szCs w:val="80"/>
                      </w:rPr>
                      <w:t>卹</w:t>
                    </w:r>
                    <w:proofErr w:type="gramEnd"/>
                    <w:r w:rsidRPr="00671062">
                      <w:rPr>
                        <w:rFonts w:asciiTheme="majorHAnsi" w:eastAsiaTheme="majorEastAsia" w:hAnsiTheme="majorHAnsi" w:cstheme="majorBidi" w:hint="eastAsia"/>
                        <w:b/>
                        <w:sz w:val="80"/>
                        <w:szCs w:val="80"/>
                      </w:rPr>
                      <w:t>法</w:t>
                    </w:r>
                  </w:p>
                </w:tc>
              </w:sdtContent>
            </w:sdt>
          </w:tr>
          <w:tr w:rsidR="00671062" w:rsidTr="00F6571E">
            <w:trPr>
              <w:trHeight w:val="720"/>
            </w:trPr>
            <w:sdt>
              <w:sdtPr>
                <w:rPr>
                  <w:rFonts w:asciiTheme="majorHAnsi" w:eastAsiaTheme="majorEastAsia" w:hAnsiTheme="majorHAnsi" w:cstheme="majorBidi" w:hint="eastAsia"/>
                  <w:b/>
                  <w:sz w:val="44"/>
                  <w:szCs w:val="44"/>
                </w:rPr>
                <w:alias w:val="副標題"/>
                <w:id w:val="15524255"/>
                <w:placeholder>
                  <w:docPart w:val="8C0757209EDF4E7B8E2E415EBC9CFE1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5B9BD5" w:themeColor="accent1"/>
                    </w:tcBorders>
                    <w:vAlign w:val="center"/>
                  </w:tcPr>
                  <w:p w:rsidR="00671062" w:rsidRDefault="00671062" w:rsidP="00F6571E">
                    <w:pPr>
                      <w:pStyle w:val="a9"/>
                      <w:jc w:val="center"/>
                      <w:rPr>
                        <w:rFonts w:asciiTheme="majorHAnsi" w:eastAsiaTheme="majorEastAsia" w:hAnsiTheme="majorHAnsi" w:cstheme="majorBidi"/>
                        <w:sz w:val="44"/>
                        <w:szCs w:val="44"/>
                      </w:rPr>
                    </w:pPr>
                    <w:r w:rsidRPr="00671062">
                      <w:rPr>
                        <w:rFonts w:asciiTheme="majorHAnsi" w:eastAsiaTheme="majorEastAsia" w:hAnsiTheme="majorHAnsi" w:cstheme="majorBidi" w:hint="eastAsia"/>
                        <w:b/>
                        <w:sz w:val="44"/>
                        <w:szCs w:val="44"/>
                      </w:rPr>
                      <w:t>106.6.27</w:t>
                    </w:r>
                    <w:proofErr w:type="gramStart"/>
                    <w:r w:rsidRPr="00671062">
                      <w:rPr>
                        <w:rFonts w:asciiTheme="majorHAnsi" w:eastAsiaTheme="majorEastAsia" w:hAnsiTheme="majorHAnsi" w:cstheme="majorBidi" w:hint="eastAsia"/>
                        <w:b/>
                        <w:sz w:val="44"/>
                        <w:szCs w:val="44"/>
                      </w:rPr>
                      <w:t>三</w:t>
                    </w:r>
                    <w:proofErr w:type="gramEnd"/>
                    <w:r w:rsidRPr="00671062">
                      <w:rPr>
                        <w:rFonts w:asciiTheme="majorHAnsi" w:eastAsiaTheme="majorEastAsia" w:hAnsiTheme="majorHAnsi" w:cstheme="majorBidi" w:hint="eastAsia"/>
                        <w:b/>
                        <w:sz w:val="44"/>
                        <w:szCs w:val="44"/>
                      </w:rPr>
                      <w:t>讀通過重點規定</w:t>
                    </w:r>
                  </w:p>
                </w:tc>
              </w:sdtContent>
            </w:sdt>
          </w:tr>
          <w:tr w:rsidR="00671062" w:rsidTr="00F6571E">
            <w:trPr>
              <w:trHeight w:val="360"/>
            </w:trPr>
            <w:tc>
              <w:tcPr>
                <w:tcW w:w="5000" w:type="pct"/>
                <w:vAlign w:val="center"/>
              </w:tcPr>
              <w:p w:rsidR="00671062" w:rsidRDefault="00671062" w:rsidP="00F6571E">
                <w:pPr>
                  <w:pStyle w:val="a9"/>
                  <w:jc w:val="center"/>
                </w:pPr>
              </w:p>
            </w:tc>
          </w:tr>
          <w:tr w:rsidR="00671062" w:rsidTr="00F6571E">
            <w:trPr>
              <w:trHeight w:val="360"/>
            </w:trPr>
            <w:sdt>
              <w:sdtPr>
                <w:rPr>
                  <w:b/>
                  <w:bCs/>
                  <w:sz w:val="40"/>
                  <w:szCs w:val="40"/>
                </w:rPr>
                <w:alias w:val="作者"/>
                <w:id w:val="15524260"/>
                <w:placeholder>
                  <w:docPart w:val="BAC6250199114C2FB00304B95B90CFD5"/>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71062" w:rsidRPr="00671062" w:rsidRDefault="00671062" w:rsidP="00F6571E">
                    <w:pPr>
                      <w:pStyle w:val="a9"/>
                      <w:jc w:val="center"/>
                      <w:rPr>
                        <w:b/>
                        <w:bCs/>
                        <w:sz w:val="40"/>
                        <w:szCs w:val="40"/>
                      </w:rPr>
                    </w:pPr>
                    <w:r w:rsidRPr="00671062">
                      <w:rPr>
                        <w:rFonts w:hint="eastAsia"/>
                        <w:b/>
                        <w:bCs/>
                        <w:sz w:val="40"/>
                        <w:szCs w:val="40"/>
                      </w:rPr>
                      <w:t>退撫司</w:t>
                    </w:r>
                  </w:p>
                </w:tc>
              </w:sdtContent>
            </w:sdt>
          </w:tr>
          <w:tr w:rsidR="00671062" w:rsidTr="00F6571E">
            <w:trPr>
              <w:trHeight w:val="360"/>
            </w:trPr>
            <w:sdt>
              <w:sdtPr>
                <w:rPr>
                  <w:b/>
                  <w:bCs/>
                  <w:sz w:val="40"/>
                  <w:szCs w:val="40"/>
                </w:rPr>
                <w:alias w:val="日期"/>
                <w:id w:val="516659546"/>
                <w:placeholder>
                  <w:docPart w:val="FA3E568BDF7F454ABD3B05680E3095AB"/>
                </w:placeholder>
                <w:dataBinding w:prefixMappings="xmlns:ns0='http://schemas.microsoft.com/office/2006/coverPageProps'" w:xpath="/ns0:CoverPageProperties[1]/ns0:PublishDate[1]" w:storeItemID="{55AF091B-3C7A-41E3-B477-F2FDAA23CFDA}"/>
                <w:date>
                  <w:dateFormat w:val="yyyy/M/d"/>
                  <w:lid w:val="zh-TW"/>
                  <w:storeMappedDataAs w:val="dateTime"/>
                  <w:calendar w:val="gregorian"/>
                </w:date>
              </w:sdtPr>
              <w:sdtContent>
                <w:tc>
                  <w:tcPr>
                    <w:tcW w:w="5000" w:type="pct"/>
                    <w:vAlign w:val="center"/>
                  </w:tcPr>
                  <w:p w:rsidR="00671062" w:rsidRPr="00671062" w:rsidRDefault="00671062" w:rsidP="00F6571E">
                    <w:pPr>
                      <w:pStyle w:val="a9"/>
                      <w:jc w:val="center"/>
                      <w:rPr>
                        <w:b/>
                        <w:bCs/>
                        <w:sz w:val="40"/>
                        <w:szCs w:val="40"/>
                      </w:rPr>
                    </w:pPr>
                    <w:r w:rsidRPr="00671062">
                      <w:rPr>
                        <w:rFonts w:hint="eastAsia"/>
                        <w:b/>
                        <w:bCs/>
                        <w:sz w:val="40"/>
                        <w:szCs w:val="40"/>
                      </w:rPr>
                      <w:t>106/6/27</w:t>
                    </w:r>
                  </w:p>
                </w:tc>
              </w:sdtContent>
            </w:sdt>
          </w:tr>
        </w:tbl>
        <w:p w:rsidR="00671062" w:rsidRDefault="00F6571E">
          <w:pPr>
            <w:sectPr w:rsidR="00671062" w:rsidSect="00671062">
              <w:footerReference w:type="default" r:id="rId9"/>
              <w:footerReference w:type="first" r:id="rId10"/>
              <w:pgSz w:w="11907" w:h="16839" w:code="9"/>
              <w:pgMar w:top="1418" w:right="1134" w:bottom="1418" w:left="1134" w:header="567" w:footer="567" w:gutter="0"/>
              <w:pgNumType w:start="0"/>
              <w:cols w:space="425"/>
              <w:titlePg/>
              <w:docGrid w:type="lines" w:linePitch="360"/>
            </w:sectPr>
          </w:pPr>
        </w:p>
      </w:sdtContent>
    </w:sdt>
    <w:p w:rsidR="00F6571E" w:rsidRDefault="00F6571E" w:rsidP="00F6571E">
      <w:pPr>
        <w:widowControl/>
        <w:rPr>
          <w:rFonts w:ascii="標楷體" w:eastAsia="標楷體" w:hAnsi="標楷體" w:hint="eastAsia"/>
          <w:sz w:val="32"/>
          <w:szCs w:val="32"/>
          <w:shd w:val="pct15" w:color="auto" w:fill="FFFFFF"/>
        </w:rPr>
      </w:pPr>
      <w:r w:rsidRPr="00671062">
        <w:rPr>
          <w:rFonts w:ascii="標楷體" w:eastAsia="標楷體" w:hAnsi="標楷體" w:hint="eastAsia"/>
          <w:sz w:val="32"/>
          <w:szCs w:val="32"/>
          <w:shd w:val="pct15" w:color="auto" w:fill="FFFFFF"/>
        </w:rPr>
        <w:lastRenderedPageBreak/>
        <w:t>一、退休金計算均</w:t>
      </w:r>
      <w:proofErr w:type="gramStart"/>
      <w:r w:rsidRPr="00671062">
        <w:rPr>
          <w:rFonts w:ascii="標楷體" w:eastAsia="標楷體" w:hAnsi="標楷體" w:hint="eastAsia"/>
          <w:sz w:val="32"/>
          <w:szCs w:val="32"/>
          <w:shd w:val="pct15" w:color="auto" w:fill="FFFFFF"/>
        </w:rPr>
        <w:t>俸</w:t>
      </w:r>
      <w:proofErr w:type="gramEnd"/>
      <w:r w:rsidRPr="00671062">
        <w:rPr>
          <w:rFonts w:ascii="標楷體" w:eastAsia="標楷體" w:hAnsi="標楷體" w:hint="eastAsia"/>
          <w:sz w:val="32"/>
          <w:szCs w:val="32"/>
          <w:shd w:val="pct15" w:color="auto" w:fill="FFFFFF"/>
        </w:rPr>
        <w:t>規定</w:t>
      </w:r>
    </w:p>
    <w:p w:rsidR="00F6571E" w:rsidRPr="00671062" w:rsidRDefault="00F6571E" w:rsidP="00F6571E">
      <w:pPr>
        <w:pStyle w:val="a7"/>
        <w:ind w:left="755" w:hangingChars="236" w:hanging="755"/>
        <w:rPr>
          <w:rFonts w:ascii="標楷體" w:eastAsia="標楷體" w:hAnsi="標楷體" w:hint="eastAsia"/>
          <w:sz w:val="32"/>
          <w:szCs w:val="32"/>
          <w:shd w:val="pct15" w:color="auto" w:fill="FFFFFF"/>
        </w:rPr>
      </w:pPr>
    </w:p>
    <w:p w:rsidR="00F6571E" w:rsidRDefault="00F6571E" w:rsidP="00F6571E">
      <w:pPr>
        <w:pStyle w:val="a7"/>
        <w:ind w:left="1416" w:hangingChars="590" w:hanging="1416"/>
        <w:rPr>
          <w:rFonts w:hint="eastAsia"/>
        </w:rPr>
      </w:pPr>
      <w:r>
        <w:rPr>
          <w:rFonts w:hint="eastAsia"/>
        </w:rPr>
        <w:t>第二十七條　　於本法公布施行前退休之公務人員，其退休金以最後在職經銓敘審定之本（年功）</w:t>
      </w:r>
      <w:proofErr w:type="gramStart"/>
      <w:r>
        <w:rPr>
          <w:rFonts w:hint="eastAsia"/>
        </w:rPr>
        <w:t>俸</w:t>
      </w:r>
      <w:proofErr w:type="gramEnd"/>
      <w:r>
        <w:rPr>
          <w:rFonts w:hint="eastAsia"/>
        </w:rPr>
        <w:t>（薪）額為計算基準，並依下列規定計算基數內涵：</w:t>
      </w:r>
    </w:p>
    <w:p w:rsidR="00F6571E" w:rsidRDefault="00F6571E" w:rsidP="00F6571E">
      <w:pPr>
        <w:pStyle w:val="a6"/>
        <w:ind w:left="2160" w:hanging="240"/>
        <w:rPr>
          <w:rFonts w:hint="eastAsia"/>
        </w:rPr>
      </w:pPr>
      <w:r>
        <w:rPr>
          <w:rFonts w:hint="eastAsia"/>
        </w:rPr>
        <w:t>一、退撫新制實施前年資之給與：一次退休金以最後在職同等級人員之本（年功）</w:t>
      </w:r>
      <w:proofErr w:type="gramStart"/>
      <w:r>
        <w:rPr>
          <w:rFonts w:hint="eastAsia"/>
        </w:rPr>
        <w:t>俸</w:t>
      </w:r>
      <w:proofErr w:type="gramEnd"/>
      <w:r>
        <w:rPr>
          <w:rFonts w:hint="eastAsia"/>
        </w:rPr>
        <w:t>（薪）額加新臺幣九百三十元為基數內涵；月退休金以最後在職同等級人員之本（年功）</w:t>
      </w:r>
      <w:proofErr w:type="gramStart"/>
      <w:r>
        <w:rPr>
          <w:rFonts w:hint="eastAsia"/>
        </w:rPr>
        <w:t>俸</w:t>
      </w:r>
      <w:proofErr w:type="gramEnd"/>
      <w:r>
        <w:rPr>
          <w:rFonts w:hint="eastAsia"/>
        </w:rPr>
        <w:t>（薪）額為基數內涵，另十足發給新臺幣九百三十元。</w:t>
      </w:r>
    </w:p>
    <w:p w:rsidR="00F6571E" w:rsidRPr="005C1111" w:rsidRDefault="00F6571E" w:rsidP="00F6571E">
      <w:pPr>
        <w:pStyle w:val="a6"/>
        <w:ind w:left="2160" w:hanging="240"/>
        <w:rPr>
          <w:rFonts w:hint="eastAsia"/>
        </w:rPr>
      </w:pPr>
      <w:r w:rsidRPr="005C1111">
        <w:rPr>
          <w:rFonts w:hint="eastAsia"/>
        </w:rPr>
        <w:t>二、退撫新制實施後年資之給與：以最後在職同等級人員之本（年功）</w:t>
      </w:r>
      <w:proofErr w:type="gramStart"/>
      <w:r w:rsidRPr="005C1111">
        <w:rPr>
          <w:rFonts w:hint="eastAsia"/>
        </w:rPr>
        <w:t>俸</w:t>
      </w:r>
      <w:proofErr w:type="gramEnd"/>
      <w:r w:rsidRPr="005C1111">
        <w:rPr>
          <w:rFonts w:hint="eastAsia"/>
        </w:rPr>
        <w:t>（薪）額加一倍為基數內涵。</w:t>
      </w:r>
    </w:p>
    <w:p w:rsidR="00F6571E" w:rsidRPr="005C1111" w:rsidRDefault="00F6571E" w:rsidP="00F6571E">
      <w:pPr>
        <w:pStyle w:val="a8"/>
        <w:ind w:left="1380" w:firstLine="480"/>
        <w:rPr>
          <w:rFonts w:hint="eastAsia"/>
        </w:rPr>
      </w:pPr>
      <w:r w:rsidRPr="005C1111">
        <w:rPr>
          <w:rFonts w:hint="eastAsia"/>
        </w:rPr>
        <w:t>於本法公布施行後退休之公務人員，其退撫新制實施前、後年資應給之退休金，依下列規定計算基數內涵：</w:t>
      </w:r>
    </w:p>
    <w:p w:rsidR="00F6571E" w:rsidRPr="005C1111" w:rsidRDefault="00F6571E" w:rsidP="00F6571E">
      <w:pPr>
        <w:pStyle w:val="a6"/>
        <w:ind w:left="2160" w:hanging="240"/>
        <w:rPr>
          <w:rFonts w:hint="eastAsia"/>
        </w:rPr>
      </w:pPr>
      <w:r w:rsidRPr="005C1111">
        <w:rPr>
          <w:rFonts w:hint="eastAsia"/>
        </w:rPr>
        <w:t>一、退撫新制實施前年資之給與：</w:t>
      </w:r>
    </w:p>
    <w:p w:rsidR="00F6571E" w:rsidRPr="005C1111" w:rsidRDefault="00F6571E" w:rsidP="00F6571E">
      <w:pPr>
        <w:spacing w:line="500" w:lineRule="exact"/>
        <w:ind w:leftChars="900" w:left="2640" w:hangingChars="200" w:hanging="480"/>
        <w:rPr>
          <w:rFonts w:hint="eastAsia"/>
        </w:rPr>
      </w:pPr>
      <w:r w:rsidRPr="005C1111">
        <w:rPr>
          <w:rFonts w:ascii="華康細明體" w:hint="eastAsia"/>
        </w:rPr>
        <w:t>(</w:t>
      </w:r>
      <w:proofErr w:type="gramStart"/>
      <w:r w:rsidRPr="005C1111">
        <w:rPr>
          <w:rFonts w:hint="eastAsia"/>
        </w:rPr>
        <w:t>一</w:t>
      </w:r>
      <w:proofErr w:type="gramEnd"/>
      <w:r w:rsidRPr="005C1111">
        <w:rPr>
          <w:rFonts w:ascii="華康細明體" w:hint="eastAsia"/>
        </w:rPr>
        <w:t>)</w:t>
      </w:r>
      <w:r w:rsidRPr="005C1111">
        <w:rPr>
          <w:rFonts w:hint="eastAsia"/>
        </w:rPr>
        <w:t>一次退休金：</w:t>
      </w:r>
      <w:r w:rsidRPr="00A520D9">
        <w:rPr>
          <w:rFonts w:hint="eastAsia"/>
          <w:color w:val="C00000"/>
        </w:rPr>
        <w:t>依附表一</w:t>
      </w:r>
      <w:r w:rsidRPr="005C1111">
        <w:rPr>
          <w:rFonts w:hint="eastAsia"/>
        </w:rPr>
        <w:t>所列退休年度適用之平均</w:t>
      </w:r>
      <w:proofErr w:type="gramStart"/>
      <w:r w:rsidRPr="005C1111">
        <w:rPr>
          <w:rFonts w:hint="eastAsia"/>
        </w:rPr>
        <w:t>俸</w:t>
      </w:r>
      <w:proofErr w:type="gramEnd"/>
      <w:r w:rsidRPr="005C1111">
        <w:rPr>
          <w:rFonts w:hint="eastAsia"/>
        </w:rPr>
        <w:t>（薪）額，加新臺幣九百三十元為基數內涵。</w:t>
      </w:r>
    </w:p>
    <w:p w:rsidR="00F6571E" w:rsidRPr="005C1111" w:rsidRDefault="00F6571E" w:rsidP="00F6571E">
      <w:pPr>
        <w:spacing w:line="500" w:lineRule="exact"/>
        <w:ind w:leftChars="900" w:left="2640" w:hangingChars="200" w:hanging="480"/>
        <w:rPr>
          <w:rFonts w:hint="eastAsia"/>
        </w:rPr>
      </w:pPr>
      <w:r w:rsidRPr="005C1111">
        <w:rPr>
          <w:rFonts w:ascii="華康細明體" w:hint="eastAsia"/>
        </w:rPr>
        <w:t>(</w:t>
      </w:r>
      <w:r w:rsidRPr="005C1111">
        <w:rPr>
          <w:rFonts w:hint="eastAsia"/>
        </w:rPr>
        <w:t>二</w:t>
      </w:r>
      <w:r w:rsidRPr="005C1111">
        <w:rPr>
          <w:rFonts w:ascii="華康細明體" w:hint="eastAsia"/>
        </w:rPr>
        <w:t>)</w:t>
      </w:r>
      <w:r w:rsidRPr="005C1111">
        <w:rPr>
          <w:rFonts w:hint="eastAsia"/>
        </w:rPr>
        <w:t>月退休金：依附表一所列退休年度適用之平均</w:t>
      </w:r>
      <w:proofErr w:type="gramStart"/>
      <w:r w:rsidRPr="005C1111">
        <w:rPr>
          <w:rFonts w:hint="eastAsia"/>
        </w:rPr>
        <w:t>俸</w:t>
      </w:r>
      <w:proofErr w:type="gramEnd"/>
      <w:r w:rsidRPr="005C1111">
        <w:rPr>
          <w:rFonts w:hint="eastAsia"/>
        </w:rPr>
        <w:t>（薪）額為基數內涵；另十足發給新臺幣九百三十元。</w:t>
      </w:r>
    </w:p>
    <w:p w:rsidR="00F6571E" w:rsidRPr="005C1111" w:rsidRDefault="00F6571E" w:rsidP="00F6571E">
      <w:pPr>
        <w:pStyle w:val="a6"/>
        <w:ind w:left="2160" w:hanging="240"/>
        <w:rPr>
          <w:rFonts w:hint="eastAsia"/>
        </w:rPr>
      </w:pPr>
      <w:r w:rsidRPr="005C1111">
        <w:rPr>
          <w:rFonts w:hint="eastAsia"/>
        </w:rPr>
        <w:t>二、退撫新制實施後年資之給與：依附表一所列各年度平均</w:t>
      </w:r>
      <w:proofErr w:type="gramStart"/>
      <w:r w:rsidRPr="005C1111">
        <w:rPr>
          <w:rFonts w:hint="eastAsia"/>
        </w:rPr>
        <w:t>俸</w:t>
      </w:r>
      <w:proofErr w:type="gramEnd"/>
      <w:r w:rsidRPr="005C1111">
        <w:rPr>
          <w:rFonts w:hint="eastAsia"/>
        </w:rPr>
        <w:t>（薪）額加一倍為基數內涵。</w:t>
      </w:r>
    </w:p>
    <w:p w:rsidR="00F6571E" w:rsidRPr="00A520D9" w:rsidRDefault="00F6571E" w:rsidP="00F6571E">
      <w:pPr>
        <w:pStyle w:val="a8"/>
        <w:ind w:left="1380" w:firstLine="480"/>
        <w:rPr>
          <w:rFonts w:hint="eastAsia"/>
          <w:b/>
          <w:color w:val="C00000"/>
        </w:rPr>
      </w:pPr>
      <w:r w:rsidRPr="00A520D9">
        <w:rPr>
          <w:rFonts w:hint="eastAsia"/>
          <w:b/>
          <w:color w:val="C00000"/>
        </w:rPr>
        <w:t>於本法公布施行前，已符合法定支領月退休金條件而於本法公布施行後退休生效之公務人員，其退撫新制實施前、後年資應給之退休金仍按第一項所定退休金計算基準與基數</w:t>
      </w:r>
      <w:proofErr w:type="gramStart"/>
      <w:r w:rsidRPr="00A520D9">
        <w:rPr>
          <w:rFonts w:hint="eastAsia"/>
          <w:b/>
          <w:color w:val="C00000"/>
        </w:rPr>
        <w:t>內涵計給之</w:t>
      </w:r>
      <w:proofErr w:type="gramEnd"/>
      <w:r w:rsidRPr="00A520D9">
        <w:rPr>
          <w:rFonts w:hint="eastAsia"/>
          <w:b/>
          <w:color w:val="C00000"/>
        </w:rPr>
        <w:t>。</w:t>
      </w:r>
    </w:p>
    <w:p w:rsidR="00F6571E" w:rsidRPr="00F6571E" w:rsidRDefault="00F6571E">
      <w:pPr>
        <w:widowControl/>
        <w:rPr>
          <w:rFonts w:ascii="標楷體" w:eastAsia="標楷體" w:hAnsi="標楷體" w:cs="新細明體"/>
          <w:b/>
          <w:color w:val="000000" w:themeColor="text1"/>
          <w:sz w:val="28"/>
        </w:rPr>
      </w:pPr>
    </w:p>
    <w:p w:rsidR="007F5D4F" w:rsidRPr="004871DE" w:rsidRDefault="007F5D4F" w:rsidP="007F5D4F">
      <w:pPr>
        <w:pStyle w:val="a5"/>
        <w:pageBreakBefore/>
        <w:adjustRightInd w:val="0"/>
        <w:snapToGrid w:val="0"/>
        <w:spacing w:beforeLines="50" w:before="180"/>
        <w:ind w:leftChars="0" w:left="0"/>
        <w:rPr>
          <w:rFonts w:ascii="標楷體" w:eastAsia="標楷體" w:hAnsi="標楷體" w:cs="新細明體"/>
          <w:b/>
          <w:color w:val="000000" w:themeColor="text1"/>
          <w:sz w:val="28"/>
        </w:rPr>
      </w:pPr>
    </w:p>
    <w:p w:rsidR="007F5D4F" w:rsidRPr="009F7BCD" w:rsidRDefault="007F5D4F" w:rsidP="007F5D4F">
      <w:pPr>
        <w:ind w:left="960" w:hangingChars="400" w:hanging="960"/>
        <w:rPr>
          <w:rFonts w:ascii="標楷體" w:eastAsia="標楷體" w:hAnsi="標楷體"/>
          <w:color w:val="000000" w:themeColor="text1"/>
        </w:rPr>
      </w:pPr>
      <w:r w:rsidRPr="009F7BCD">
        <w:rPr>
          <w:rFonts w:ascii="標楷體" w:eastAsia="標楷體" w:hAnsi="標楷體" w:hint="eastAsia"/>
          <w:color w:val="000000" w:themeColor="text1"/>
        </w:rPr>
        <w:t>附表</w:t>
      </w:r>
      <w:proofErr w:type="gramStart"/>
      <w:r w:rsidRPr="009F7BCD">
        <w:rPr>
          <w:rFonts w:ascii="標楷體" w:eastAsia="標楷體" w:hAnsi="標楷體" w:hint="eastAsia"/>
          <w:color w:val="000000" w:themeColor="text1"/>
        </w:rPr>
        <w:t>一</w:t>
      </w:r>
      <w:proofErr w:type="gramEnd"/>
      <w:r w:rsidRPr="009F7BCD">
        <w:rPr>
          <w:rFonts w:ascii="標楷體" w:eastAsia="標楷體" w:hAnsi="標楷體" w:hint="eastAsia"/>
          <w:color w:val="000000" w:themeColor="text1"/>
        </w:rPr>
        <w:t xml:space="preserve">  公務人員退休</w:t>
      </w:r>
      <w:r>
        <w:rPr>
          <w:rFonts w:ascii="標楷體" w:eastAsia="標楷體" w:hAnsi="標楷體" w:hint="eastAsia"/>
          <w:color w:val="FF0000"/>
        </w:rPr>
        <w:t>資遣</w:t>
      </w:r>
      <w:r w:rsidRPr="009F7BCD">
        <w:rPr>
          <w:rFonts w:ascii="標楷體" w:eastAsia="標楷體" w:hAnsi="標楷體" w:hint="eastAsia"/>
          <w:color w:val="000000" w:themeColor="text1"/>
        </w:rPr>
        <w:t>撫</w:t>
      </w:r>
      <w:proofErr w:type="gramStart"/>
      <w:r w:rsidRPr="009F7BCD">
        <w:rPr>
          <w:rFonts w:ascii="標楷體" w:eastAsia="標楷體" w:hAnsi="標楷體" w:hint="eastAsia"/>
          <w:color w:val="000000" w:themeColor="text1"/>
        </w:rPr>
        <w:t>卹</w:t>
      </w:r>
      <w:proofErr w:type="gramEnd"/>
      <w:r w:rsidRPr="009F7BCD">
        <w:rPr>
          <w:rFonts w:ascii="標楷體" w:eastAsia="標楷體" w:hAnsi="標楷體" w:hint="eastAsia"/>
          <w:color w:val="000000" w:themeColor="text1"/>
        </w:rPr>
        <w:t>法第二十七條第二項附表</w:t>
      </w:r>
      <w:proofErr w:type="gramStart"/>
      <w:r w:rsidRPr="009F7BCD">
        <w:rPr>
          <w:rFonts w:ascii="標楷體" w:eastAsia="標楷體" w:hAnsi="標楷體" w:hint="eastAsia"/>
          <w:color w:val="000000" w:themeColor="text1"/>
        </w:rPr>
        <w:t>─</w:t>
      </w:r>
      <w:proofErr w:type="gramEnd"/>
      <w:r w:rsidRPr="009F7BCD">
        <w:rPr>
          <w:rFonts w:ascii="標楷體" w:eastAsia="標楷體" w:hAnsi="標楷體" w:hint="eastAsia"/>
          <w:color w:val="000000" w:themeColor="text1"/>
        </w:rPr>
        <w:t>本法公布施行</w:t>
      </w:r>
      <w:r w:rsidRPr="009F7BCD">
        <w:rPr>
          <w:rFonts w:ascii="標楷體" w:eastAsia="標楷體" w:hAnsi="標楷體" w:cs="新細明體" w:hint="eastAsia"/>
          <w:color w:val="000000" w:themeColor="text1"/>
          <w:kern w:val="0"/>
        </w:rPr>
        <w:t>後退休</w:t>
      </w:r>
      <w:r w:rsidRPr="009F7BCD">
        <w:rPr>
          <w:rFonts w:ascii="標楷體" w:eastAsia="標楷體" w:hAnsi="標楷體" w:cs="新細明體" w:hint="eastAsia"/>
          <w:bCs/>
          <w:color w:val="000000" w:themeColor="text1"/>
          <w:kern w:val="0"/>
        </w:rPr>
        <w:t>公務人員退休金給與之計算基準彙整表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5653"/>
      </w:tblGrid>
      <w:tr w:rsidR="007F5D4F" w:rsidRPr="00915DB8" w:rsidTr="001F4A6C">
        <w:trPr>
          <w:trHeight w:val="360"/>
          <w:jc w:val="center"/>
        </w:trPr>
        <w:tc>
          <w:tcPr>
            <w:tcW w:w="3386" w:type="dxa"/>
            <w:vMerge w:val="restart"/>
            <w:vAlign w:val="center"/>
          </w:tcPr>
          <w:p w:rsidR="007F5D4F" w:rsidRPr="00915DB8" w:rsidRDefault="007F5D4F" w:rsidP="001F4A6C">
            <w:pPr>
              <w:jc w:val="center"/>
              <w:rPr>
                <w:rFonts w:ascii="標楷體" w:eastAsia="標楷體" w:hAnsi="標楷體"/>
              </w:rPr>
            </w:pPr>
            <w:r w:rsidRPr="00915DB8">
              <w:rPr>
                <w:rFonts w:ascii="標楷體" w:eastAsia="標楷體" w:hAnsi="標楷體" w:cs="新細明體" w:hint="eastAsia"/>
                <w:kern w:val="0"/>
              </w:rPr>
              <w:t>實施</w:t>
            </w:r>
            <w:r>
              <w:rPr>
                <w:rFonts w:ascii="標楷體" w:eastAsia="標楷體" w:hAnsi="標楷體" w:cs="新細明體" w:hint="eastAsia"/>
                <w:color w:val="C00000"/>
                <w:kern w:val="0"/>
                <w:u w:val="single"/>
              </w:rPr>
              <w:t>期間</w:t>
            </w:r>
          </w:p>
        </w:tc>
        <w:tc>
          <w:tcPr>
            <w:tcW w:w="5653" w:type="dxa"/>
            <w:vMerge w:val="restart"/>
            <w:vAlign w:val="center"/>
          </w:tcPr>
          <w:p w:rsidR="007F5D4F" w:rsidRPr="00915DB8" w:rsidRDefault="007F5D4F" w:rsidP="001F4A6C">
            <w:pPr>
              <w:widowControl/>
              <w:jc w:val="center"/>
              <w:rPr>
                <w:rFonts w:ascii="標楷體" w:eastAsia="標楷體" w:hAnsi="標楷體" w:cs="新細明體"/>
                <w:bCs/>
                <w:kern w:val="0"/>
              </w:rPr>
            </w:pPr>
            <w:r w:rsidRPr="00915DB8">
              <w:rPr>
                <w:rFonts w:ascii="標楷體" w:eastAsia="標楷體" w:hAnsi="標楷體" w:cs="新細明體" w:hint="eastAsia"/>
                <w:bCs/>
                <w:kern w:val="0"/>
              </w:rPr>
              <w:t>退休金計算基準</w:t>
            </w:r>
          </w:p>
        </w:tc>
      </w:tr>
      <w:tr w:rsidR="007F5D4F" w:rsidRPr="00915DB8" w:rsidTr="001F4A6C">
        <w:trPr>
          <w:trHeight w:val="360"/>
          <w:jc w:val="center"/>
        </w:trPr>
        <w:tc>
          <w:tcPr>
            <w:tcW w:w="3386" w:type="dxa"/>
            <w:vMerge/>
            <w:vAlign w:val="center"/>
          </w:tcPr>
          <w:p w:rsidR="007F5D4F" w:rsidRPr="00915DB8" w:rsidRDefault="007F5D4F" w:rsidP="001F4A6C">
            <w:pPr>
              <w:jc w:val="center"/>
              <w:rPr>
                <w:rFonts w:ascii="標楷體" w:eastAsia="標楷體" w:hAnsi="標楷體" w:cs="新細明體"/>
                <w:kern w:val="0"/>
              </w:rPr>
            </w:pPr>
          </w:p>
        </w:tc>
        <w:tc>
          <w:tcPr>
            <w:tcW w:w="5653" w:type="dxa"/>
            <w:vMerge/>
            <w:vAlign w:val="center"/>
          </w:tcPr>
          <w:p w:rsidR="007F5D4F" w:rsidRPr="00915DB8" w:rsidRDefault="007F5D4F" w:rsidP="001F4A6C">
            <w:pPr>
              <w:jc w:val="center"/>
              <w:rPr>
                <w:rFonts w:ascii="標楷體" w:eastAsia="標楷體" w:hAnsi="標楷體" w:cs="新細明體"/>
                <w:bCs/>
                <w:kern w:val="0"/>
              </w:rPr>
            </w:pP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新細明體"/>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中華民國一百零七年七月一日至一百零八年十二月三十一日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spacing w:val="-10"/>
                <w:kern w:val="0"/>
                <w:sz w:val="22"/>
                <w:szCs w:val="22"/>
              </w:rPr>
            </w:pPr>
            <w:r w:rsidRPr="00915DB8">
              <w:rPr>
                <w:rFonts w:ascii="標楷體" w:eastAsia="標楷體" w:hAnsi="標楷體" w:cs="新細明體" w:hint="eastAsia"/>
                <w:bCs/>
                <w:spacing w:val="-10"/>
                <w:kern w:val="0"/>
                <w:sz w:val="22"/>
                <w:szCs w:val="22"/>
              </w:rPr>
              <w:t>最後在職五</w:t>
            </w:r>
            <w:r w:rsidRPr="00915DB8">
              <w:rPr>
                <w:rFonts w:ascii="標楷體" w:eastAsia="標楷體" w:hAnsi="標楷體" w:cs="新細明體" w:hint="eastAsia"/>
                <w:bCs/>
                <w:kern w:val="0"/>
                <w:sz w:val="22"/>
                <w:szCs w:val="22"/>
              </w:rPr>
              <w:t>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新細明體"/>
                <w:b/>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中華民國一百零九年一月一日至一百零九年十二月三十一日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最後在職六年之平均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新細明體"/>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中華民國一百十年一月一日至一百十年十二月三十一日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最後在職七年之平均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新細明體"/>
                <w:b/>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中華民國一百十一年一月一日至一百十一年十二月三十一日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最後在職八年之平均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新細明體"/>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中華民國一百十二年一月一日至一百十二年十二月三十一日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最後在職九年之平均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新細明體"/>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中華民國一百十三年一月一日至一百十三年十二月三十一日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最後在職十年之平均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s="細明體"/>
                <w:color w:val="FF0000"/>
                <w:kern w:val="0"/>
                <w:sz w:val="22"/>
                <w:szCs w:val="22"/>
                <w:u w:val="single"/>
              </w:rPr>
            </w:pPr>
            <w:r w:rsidRPr="00815005">
              <w:rPr>
                <w:rFonts w:ascii="標楷體" w:eastAsia="標楷體" w:hAnsi="標楷體" w:cs="新細明體" w:hint="eastAsia"/>
                <w:color w:val="FF0000"/>
                <w:kern w:val="0"/>
                <w:sz w:val="22"/>
                <w:szCs w:val="22"/>
                <w:u w:val="single"/>
              </w:rPr>
              <w:t>中華民國一百十四年一月一日至一百十四年十二月三十一日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最後在職十一年之平均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olor w:val="FF0000"/>
                <w:sz w:val="22"/>
                <w:szCs w:val="22"/>
                <w:u w:val="single"/>
              </w:rPr>
            </w:pPr>
            <w:r w:rsidRPr="00815005">
              <w:rPr>
                <w:rFonts w:ascii="標楷體" w:eastAsia="標楷體" w:hAnsi="標楷體" w:cs="新細明體" w:hint="eastAsia"/>
                <w:color w:val="FF0000"/>
                <w:kern w:val="0"/>
                <w:sz w:val="22"/>
                <w:szCs w:val="22"/>
                <w:u w:val="single"/>
              </w:rPr>
              <w:t>中華民國一百十五年一月一日至一百十五年十二月三十一日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最後在職十二年之平均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olor w:val="FF0000"/>
                <w:sz w:val="22"/>
                <w:szCs w:val="22"/>
                <w:u w:val="single"/>
              </w:rPr>
            </w:pPr>
            <w:r w:rsidRPr="00815005">
              <w:rPr>
                <w:rFonts w:ascii="標楷體" w:eastAsia="標楷體" w:hAnsi="標楷體" w:cs="新細明體" w:hint="eastAsia"/>
                <w:color w:val="FF0000"/>
                <w:kern w:val="0"/>
                <w:sz w:val="22"/>
                <w:szCs w:val="22"/>
                <w:u w:val="single"/>
              </w:rPr>
              <w:t>中華民國一百十六年一月一日至一百十六年十二月三十一日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最後在職十三年之平均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82"/>
          <w:jc w:val="center"/>
        </w:trPr>
        <w:tc>
          <w:tcPr>
            <w:tcW w:w="3386" w:type="dxa"/>
            <w:vAlign w:val="center"/>
          </w:tcPr>
          <w:p w:rsidR="007F5D4F" w:rsidRPr="00CA1243" w:rsidRDefault="007F5D4F" w:rsidP="001F4A6C">
            <w:pPr>
              <w:widowControl/>
              <w:rPr>
                <w:rFonts w:ascii="標楷體" w:eastAsia="標楷體" w:hAnsi="標楷體"/>
                <w:color w:val="FF0000"/>
                <w:sz w:val="22"/>
                <w:szCs w:val="22"/>
                <w:u w:val="single"/>
              </w:rPr>
            </w:pPr>
            <w:r w:rsidRPr="00815005">
              <w:rPr>
                <w:rFonts w:ascii="標楷體" w:eastAsia="標楷體" w:hAnsi="標楷體" w:cs="新細明體" w:hint="eastAsia"/>
                <w:color w:val="FF0000"/>
                <w:kern w:val="0"/>
                <w:sz w:val="22"/>
                <w:szCs w:val="22"/>
                <w:u w:val="single"/>
              </w:rPr>
              <w:t>中華民國一百十七年一月一日至一百十七年十二月三十一日</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最後在職十四年之平均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trHeight w:val="420"/>
          <w:jc w:val="center"/>
        </w:trPr>
        <w:tc>
          <w:tcPr>
            <w:tcW w:w="3386" w:type="dxa"/>
            <w:vAlign w:val="center"/>
          </w:tcPr>
          <w:p w:rsidR="007F5D4F" w:rsidRPr="00CA1243" w:rsidRDefault="007F5D4F" w:rsidP="001F4A6C">
            <w:pPr>
              <w:widowControl/>
              <w:rPr>
                <w:rFonts w:ascii="標楷體" w:eastAsia="標楷體" w:hAnsi="標楷體"/>
                <w:color w:val="FF0000"/>
                <w:sz w:val="22"/>
                <w:szCs w:val="22"/>
                <w:u w:val="single"/>
              </w:rPr>
            </w:pPr>
            <w:r w:rsidRPr="00815005">
              <w:rPr>
                <w:rFonts w:ascii="標楷體" w:eastAsia="標楷體" w:hAnsi="標楷體" w:cs="新細明體" w:hint="eastAsia"/>
                <w:color w:val="FF0000"/>
                <w:kern w:val="0"/>
                <w:sz w:val="22"/>
                <w:szCs w:val="22"/>
                <w:u w:val="single"/>
              </w:rPr>
              <w:t>中華民國一百十八年一月一日</w:t>
            </w:r>
            <w:r w:rsidRPr="00CA1243">
              <w:rPr>
                <w:rFonts w:ascii="標楷體" w:eastAsia="標楷體" w:hAnsi="標楷體" w:cs="新細明體" w:hint="eastAsia"/>
                <w:color w:val="FF0000"/>
                <w:kern w:val="0"/>
                <w:sz w:val="22"/>
                <w:szCs w:val="22"/>
                <w:u w:val="single"/>
              </w:rPr>
              <w:t>以後</w:t>
            </w:r>
          </w:p>
        </w:tc>
        <w:tc>
          <w:tcPr>
            <w:tcW w:w="5653" w:type="dxa"/>
            <w:vAlign w:val="center"/>
          </w:tcPr>
          <w:p w:rsidR="007F5D4F" w:rsidRPr="00915DB8" w:rsidRDefault="007F5D4F" w:rsidP="001F4A6C">
            <w:pPr>
              <w:widowControl/>
              <w:jc w:val="center"/>
              <w:rPr>
                <w:rFonts w:ascii="標楷體" w:eastAsia="標楷體" w:hAnsi="標楷體" w:cs="新細明體"/>
                <w:bCs/>
                <w:kern w:val="0"/>
                <w:sz w:val="22"/>
                <w:szCs w:val="22"/>
              </w:rPr>
            </w:pPr>
            <w:r w:rsidRPr="00915DB8">
              <w:rPr>
                <w:rFonts w:ascii="標楷體" w:eastAsia="標楷體" w:hAnsi="標楷體" w:cs="新細明體" w:hint="eastAsia"/>
                <w:bCs/>
                <w:kern w:val="0"/>
                <w:sz w:val="22"/>
                <w:szCs w:val="22"/>
              </w:rPr>
              <w:t>最後在職十五年之平均</w:t>
            </w:r>
            <w:proofErr w:type="gramStart"/>
            <w:r w:rsidRPr="00E4580B">
              <w:rPr>
                <w:rFonts w:ascii="標楷體" w:eastAsia="標楷體" w:hAnsi="標楷體" w:cs="新細明體" w:hint="eastAsia"/>
                <w:bCs/>
                <w:color w:val="D60093"/>
                <w:kern w:val="0"/>
                <w:sz w:val="22"/>
                <w:szCs w:val="22"/>
                <w:u w:val="single"/>
              </w:rPr>
              <w:t>俸</w:t>
            </w:r>
            <w:proofErr w:type="gramEnd"/>
            <w:r w:rsidRPr="00E4580B">
              <w:rPr>
                <w:rFonts w:ascii="標楷體" w:eastAsia="標楷體" w:hAnsi="標楷體" w:cs="新細明體" w:hint="eastAsia"/>
                <w:bCs/>
                <w:color w:val="D60093"/>
                <w:kern w:val="0"/>
                <w:sz w:val="22"/>
                <w:szCs w:val="22"/>
                <w:u w:val="single"/>
              </w:rPr>
              <w:t>（</w:t>
            </w:r>
            <w:r w:rsidRPr="00915DB8">
              <w:rPr>
                <w:rFonts w:ascii="標楷體" w:eastAsia="標楷體" w:hAnsi="標楷體" w:cs="新細明體" w:hint="eastAsia"/>
                <w:bCs/>
                <w:spacing w:val="-10"/>
                <w:kern w:val="0"/>
                <w:sz w:val="22"/>
                <w:szCs w:val="22"/>
              </w:rPr>
              <w:t>薪</w:t>
            </w:r>
            <w:r w:rsidRPr="00E4580B">
              <w:rPr>
                <w:rFonts w:ascii="標楷體" w:eastAsia="標楷體" w:hAnsi="標楷體" w:cs="新細明體" w:hint="eastAsia"/>
                <w:bCs/>
                <w:color w:val="D60093"/>
                <w:spacing w:val="-10"/>
                <w:kern w:val="0"/>
                <w:sz w:val="22"/>
                <w:szCs w:val="22"/>
                <w:u w:val="single"/>
              </w:rPr>
              <w:t>）</w:t>
            </w:r>
            <w:r w:rsidRPr="00915DB8">
              <w:rPr>
                <w:rFonts w:ascii="標楷體" w:eastAsia="標楷體" w:hAnsi="標楷體" w:cs="新細明體" w:hint="eastAsia"/>
                <w:bCs/>
                <w:kern w:val="0"/>
                <w:sz w:val="22"/>
                <w:szCs w:val="22"/>
              </w:rPr>
              <w:t>額</w:t>
            </w:r>
          </w:p>
        </w:tc>
      </w:tr>
      <w:tr w:rsidR="007F5D4F" w:rsidRPr="00915DB8" w:rsidTr="001F4A6C">
        <w:trPr>
          <w:jc w:val="center"/>
        </w:trPr>
        <w:tc>
          <w:tcPr>
            <w:tcW w:w="9039" w:type="dxa"/>
            <w:gridSpan w:val="2"/>
            <w:vAlign w:val="center"/>
          </w:tcPr>
          <w:p w:rsidR="007F5D4F" w:rsidRPr="00915DB8" w:rsidRDefault="007F5D4F" w:rsidP="007F5D4F">
            <w:pPr>
              <w:numPr>
                <w:ilvl w:val="0"/>
                <w:numId w:val="1"/>
              </w:numPr>
              <w:ind w:left="426"/>
              <w:jc w:val="both"/>
              <w:rPr>
                <w:rFonts w:ascii="標楷體" w:eastAsia="標楷體" w:hAnsi="標楷體"/>
                <w:kern w:val="0"/>
              </w:rPr>
            </w:pPr>
            <w:r w:rsidRPr="00915DB8">
              <w:rPr>
                <w:rFonts w:ascii="標楷體" w:eastAsia="標楷體" w:hAnsi="標楷體" w:hint="eastAsia"/>
                <w:kern w:val="0"/>
              </w:rPr>
              <w:t>本表之適用對象，其退休金應按其退休年度，依本表所列各年度退休金計算基準計算</w:t>
            </w:r>
            <w:r w:rsidRPr="00915DB8">
              <w:rPr>
                <w:rFonts w:ascii="標楷體" w:eastAsia="標楷體" w:hAnsi="標楷體" w:cs="新細明體" w:hint="eastAsia"/>
              </w:rPr>
              <w:t>之後</w:t>
            </w:r>
            <w:r w:rsidRPr="00915DB8">
              <w:rPr>
                <w:rFonts w:ascii="標楷體" w:eastAsia="標楷體" w:hAnsi="標楷體" w:hint="eastAsia"/>
                <w:kern w:val="0"/>
              </w:rPr>
              <w:t>不再</w:t>
            </w:r>
            <w:r w:rsidRPr="00551E30">
              <w:rPr>
                <w:rFonts w:ascii="標楷體" w:eastAsia="標楷體" w:hAnsi="標楷體" w:hint="eastAsia"/>
                <w:kern w:val="0"/>
              </w:rPr>
              <w:t>調整</w:t>
            </w:r>
            <w:r w:rsidRPr="00915DB8">
              <w:rPr>
                <w:rFonts w:ascii="新細明體" w:hAnsi="新細明體" w:cs="新細明體" w:hint="eastAsia"/>
              </w:rPr>
              <w:t>。</w:t>
            </w:r>
          </w:p>
          <w:p w:rsidR="007F5D4F" w:rsidRPr="00915DB8" w:rsidRDefault="007F5D4F" w:rsidP="007F5D4F">
            <w:pPr>
              <w:numPr>
                <w:ilvl w:val="0"/>
                <w:numId w:val="1"/>
              </w:numPr>
              <w:ind w:left="426"/>
              <w:jc w:val="both"/>
              <w:rPr>
                <w:rFonts w:ascii="標楷體" w:eastAsia="標楷體" w:hAnsi="標楷體" w:cs="新細明體"/>
                <w:bCs/>
                <w:kern w:val="0"/>
                <w:sz w:val="22"/>
                <w:szCs w:val="22"/>
              </w:rPr>
            </w:pPr>
            <w:r w:rsidRPr="00915DB8">
              <w:rPr>
                <w:rFonts w:ascii="標楷體" w:eastAsia="標楷體" w:hAnsi="標楷體" w:hint="eastAsia"/>
                <w:kern w:val="0"/>
              </w:rPr>
              <w:t>本表所定「平均</w:t>
            </w:r>
            <w:proofErr w:type="gramStart"/>
            <w:r w:rsidRPr="00915DB8">
              <w:rPr>
                <w:rFonts w:ascii="標楷體" w:eastAsia="標楷體" w:hAnsi="標楷體" w:hint="eastAsia"/>
                <w:kern w:val="0"/>
              </w:rPr>
              <w:t>俸</w:t>
            </w:r>
            <w:proofErr w:type="gramEnd"/>
            <w:r w:rsidRPr="00E4580B">
              <w:rPr>
                <w:rFonts w:ascii="標楷體" w:eastAsia="標楷體" w:hAnsi="標楷體" w:hint="eastAsia"/>
                <w:color w:val="D60093"/>
                <w:kern w:val="0"/>
                <w:u w:val="single"/>
              </w:rPr>
              <w:t>（薪）</w:t>
            </w:r>
            <w:r w:rsidRPr="00915DB8">
              <w:rPr>
                <w:rFonts w:ascii="標楷體" w:eastAsia="標楷體" w:hAnsi="標楷體" w:hint="eastAsia"/>
                <w:kern w:val="0"/>
              </w:rPr>
              <w:t>額」，依退休公務員計算平均</w:t>
            </w:r>
            <w:proofErr w:type="gramStart"/>
            <w:r w:rsidRPr="00915DB8">
              <w:rPr>
                <w:rFonts w:ascii="標楷體" w:eastAsia="標楷體" w:hAnsi="標楷體" w:hint="eastAsia"/>
                <w:kern w:val="0"/>
              </w:rPr>
              <w:t>俸</w:t>
            </w:r>
            <w:proofErr w:type="gramEnd"/>
            <w:r w:rsidRPr="00E4580B">
              <w:rPr>
                <w:rFonts w:ascii="標楷體" w:eastAsia="標楷體" w:hAnsi="標楷體" w:hint="eastAsia"/>
                <w:color w:val="D60093"/>
                <w:kern w:val="0"/>
                <w:u w:val="single"/>
              </w:rPr>
              <w:t>（薪）</w:t>
            </w:r>
            <w:r w:rsidRPr="00915DB8">
              <w:rPr>
                <w:rFonts w:ascii="標楷體" w:eastAsia="標楷體" w:hAnsi="標楷體" w:hint="eastAsia"/>
                <w:kern w:val="0"/>
              </w:rPr>
              <w:t>額之各該年度實際支領金額計算之平均數額。</w:t>
            </w:r>
          </w:p>
        </w:tc>
      </w:tr>
    </w:tbl>
    <w:p w:rsidR="007F5D4F" w:rsidRPr="004871DE" w:rsidRDefault="007F5D4F" w:rsidP="007F5D4F">
      <w:pPr>
        <w:ind w:left="1440" w:hangingChars="400" w:hanging="1440"/>
        <w:rPr>
          <w:rFonts w:ascii="標楷體" w:eastAsia="標楷體" w:hAnsi="標楷體"/>
          <w:color w:val="000000" w:themeColor="text1"/>
          <w:sz w:val="36"/>
          <w:szCs w:val="36"/>
        </w:rPr>
      </w:pPr>
    </w:p>
    <w:p w:rsidR="007F5D4F" w:rsidRPr="009F7BCD" w:rsidRDefault="007F5D4F" w:rsidP="007F5D4F">
      <w:pPr>
        <w:overflowPunct w:val="0"/>
        <w:topLinePunct/>
        <w:autoSpaceDE w:val="0"/>
        <w:autoSpaceDN w:val="0"/>
        <w:adjustRightInd w:val="0"/>
        <w:ind w:left="430"/>
        <w:jc w:val="both"/>
        <w:rPr>
          <w:rFonts w:ascii="標楷體" w:eastAsia="標楷體" w:hAnsi="標楷體"/>
          <w:snapToGrid w:val="0"/>
          <w:color w:val="000000" w:themeColor="text1"/>
          <w:kern w:val="0"/>
        </w:rPr>
        <w:sectPr w:rsidR="007F5D4F" w:rsidRPr="009F7BCD" w:rsidSect="00F6571E">
          <w:footerReference w:type="first" r:id="rId11"/>
          <w:pgSz w:w="11907" w:h="16839" w:code="9"/>
          <w:pgMar w:top="1418" w:right="1134" w:bottom="1418" w:left="1134" w:header="567" w:footer="283" w:gutter="0"/>
          <w:pgNumType w:start="1"/>
          <w:cols w:space="425"/>
          <w:titlePg/>
          <w:docGrid w:type="lines" w:linePitch="360"/>
        </w:sectPr>
      </w:pPr>
    </w:p>
    <w:p w:rsidR="00A520D9" w:rsidRDefault="00A520D9" w:rsidP="00A520D9">
      <w:pPr>
        <w:widowControl/>
        <w:rPr>
          <w:rFonts w:ascii="標楷體" w:eastAsia="標楷體" w:hAnsi="標楷體" w:hint="eastAsia"/>
          <w:sz w:val="32"/>
          <w:szCs w:val="32"/>
          <w:shd w:val="pct15" w:color="auto" w:fill="FFFFFF"/>
        </w:rPr>
      </w:pPr>
      <w:r>
        <w:rPr>
          <w:rFonts w:ascii="標楷體" w:eastAsia="標楷體" w:hAnsi="標楷體" w:hint="eastAsia"/>
          <w:sz w:val="32"/>
          <w:szCs w:val="32"/>
          <w:shd w:val="pct15" w:color="auto" w:fill="FFFFFF"/>
        </w:rPr>
        <w:lastRenderedPageBreak/>
        <w:t>二</w:t>
      </w:r>
      <w:r w:rsidRPr="00671062">
        <w:rPr>
          <w:rFonts w:ascii="標楷體" w:eastAsia="標楷體" w:hAnsi="標楷體" w:hint="eastAsia"/>
          <w:sz w:val="32"/>
          <w:szCs w:val="32"/>
          <w:shd w:val="pct15" w:color="auto" w:fill="FFFFFF"/>
        </w:rPr>
        <w:t>、</w:t>
      </w:r>
      <w:r w:rsidR="00B25AAB">
        <w:rPr>
          <w:rFonts w:ascii="標楷體" w:eastAsia="標楷體" w:hAnsi="標楷體" w:hint="eastAsia"/>
          <w:sz w:val="32"/>
          <w:szCs w:val="32"/>
          <w:shd w:val="pct15" w:color="auto" w:fill="FFFFFF"/>
        </w:rPr>
        <w:t>月</w:t>
      </w:r>
      <w:proofErr w:type="gramStart"/>
      <w:r w:rsidRPr="00671062">
        <w:rPr>
          <w:rFonts w:ascii="標楷體" w:eastAsia="標楷體" w:hAnsi="標楷體" w:hint="eastAsia"/>
          <w:sz w:val="32"/>
          <w:szCs w:val="32"/>
          <w:shd w:val="pct15" w:color="auto" w:fill="FFFFFF"/>
        </w:rPr>
        <w:t>退休金</w:t>
      </w:r>
      <w:r>
        <w:rPr>
          <w:rFonts w:ascii="標楷體" w:eastAsia="標楷體" w:hAnsi="標楷體" w:hint="eastAsia"/>
          <w:sz w:val="32"/>
          <w:szCs w:val="32"/>
          <w:shd w:val="pct15" w:color="auto" w:fill="FFFFFF"/>
        </w:rPr>
        <w:t>起支年齡</w:t>
      </w:r>
      <w:proofErr w:type="gramEnd"/>
    </w:p>
    <w:p w:rsidR="00F15585" w:rsidRPr="005C1111" w:rsidRDefault="00F15585" w:rsidP="00F15585">
      <w:pPr>
        <w:pStyle w:val="a7"/>
        <w:ind w:left="1200" w:hanging="1200"/>
        <w:rPr>
          <w:rFonts w:hint="eastAsia"/>
        </w:rPr>
      </w:pPr>
      <w:r w:rsidRPr="005C1111">
        <w:rPr>
          <w:rFonts w:hint="eastAsia"/>
        </w:rPr>
        <w:t>第三十一條　　公務人員任職滿十五年，依第十七條第一項規定辦理退休者，符合下列月</w:t>
      </w:r>
      <w:proofErr w:type="gramStart"/>
      <w:r w:rsidRPr="005C1111">
        <w:rPr>
          <w:rFonts w:hint="eastAsia"/>
        </w:rPr>
        <w:t>退休金起支年齡</w:t>
      </w:r>
      <w:proofErr w:type="gramEnd"/>
      <w:r w:rsidRPr="005C1111">
        <w:rPr>
          <w:rFonts w:hint="eastAsia"/>
        </w:rPr>
        <w:t>規定，得擇領全額月退休金：</w:t>
      </w:r>
    </w:p>
    <w:p w:rsidR="00F15585" w:rsidRPr="005C1111" w:rsidRDefault="00F15585" w:rsidP="00F15585">
      <w:pPr>
        <w:pStyle w:val="a6"/>
        <w:ind w:left="2160" w:hanging="240"/>
        <w:rPr>
          <w:rFonts w:hint="eastAsia"/>
        </w:rPr>
      </w:pPr>
      <w:r w:rsidRPr="005C1111">
        <w:rPr>
          <w:rFonts w:hint="eastAsia"/>
        </w:rPr>
        <w:t>一、中華民國一百零九年十二月三十一日以前退休且符合下列規定之</w:t>
      </w:r>
      <w:proofErr w:type="gramStart"/>
      <w:r w:rsidRPr="005C1111">
        <w:rPr>
          <w:rFonts w:hint="eastAsia"/>
        </w:rPr>
        <w:t>一</w:t>
      </w:r>
      <w:proofErr w:type="gramEnd"/>
      <w:r w:rsidRPr="005C1111">
        <w:rPr>
          <w:rFonts w:hint="eastAsia"/>
        </w:rPr>
        <w:t>者：</w:t>
      </w:r>
    </w:p>
    <w:p w:rsidR="00F15585" w:rsidRPr="005C1111" w:rsidRDefault="00F15585" w:rsidP="00F15585">
      <w:pPr>
        <w:spacing w:line="500" w:lineRule="exact"/>
        <w:ind w:leftChars="900" w:left="2640" w:hangingChars="200" w:hanging="480"/>
        <w:rPr>
          <w:rFonts w:hint="eastAsia"/>
        </w:rPr>
      </w:pPr>
      <w:r w:rsidRPr="005C1111">
        <w:rPr>
          <w:rFonts w:ascii="華康細明體" w:hint="eastAsia"/>
        </w:rPr>
        <w:t>(</w:t>
      </w:r>
      <w:r w:rsidRPr="005C1111">
        <w:rPr>
          <w:rFonts w:hint="eastAsia"/>
        </w:rPr>
        <w:t>一</w:t>
      </w:r>
      <w:r w:rsidRPr="005C1111">
        <w:rPr>
          <w:rFonts w:ascii="華康細明體" w:hint="eastAsia"/>
        </w:rPr>
        <w:t>)</w:t>
      </w:r>
      <w:r w:rsidRPr="005C1111">
        <w:rPr>
          <w:rFonts w:hint="eastAsia"/>
        </w:rPr>
        <w:t>年滿六十歲。</w:t>
      </w:r>
    </w:p>
    <w:p w:rsidR="00F15585" w:rsidRPr="005C1111" w:rsidRDefault="00F15585" w:rsidP="00F15585">
      <w:pPr>
        <w:spacing w:line="500" w:lineRule="exact"/>
        <w:ind w:leftChars="900" w:left="2640" w:hangingChars="200" w:hanging="480"/>
        <w:rPr>
          <w:rFonts w:hint="eastAsia"/>
        </w:rPr>
      </w:pPr>
      <w:r w:rsidRPr="005C1111">
        <w:rPr>
          <w:rFonts w:ascii="華康細明體" w:hint="eastAsia"/>
        </w:rPr>
        <w:t>(</w:t>
      </w:r>
      <w:r w:rsidRPr="005C1111">
        <w:rPr>
          <w:rFonts w:hint="eastAsia"/>
        </w:rPr>
        <w:t>二</w:t>
      </w:r>
      <w:r w:rsidRPr="005C1111">
        <w:rPr>
          <w:rFonts w:ascii="華康細明體" w:hint="eastAsia"/>
        </w:rPr>
        <w:t>)</w:t>
      </w:r>
      <w:r w:rsidRPr="005C1111">
        <w:rPr>
          <w:rFonts w:hint="eastAsia"/>
        </w:rPr>
        <w:t>任職年資滿三十年且年滿五十五歲。</w:t>
      </w:r>
    </w:p>
    <w:p w:rsidR="00F15585" w:rsidRPr="005C1111" w:rsidRDefault="00F15585" w:rsidP="00F15585">
      <w:pPr>
        <w:pStyle w:val="a6"/>
        <w:ind w:left="2160" w:hanging="240"/>
        <w:rPr>
          <w:rFonts w:hint="eastAsia"/>
        </w:rPr>
      </w:pPr>
      <w:r w:rsidRPr="005C1111">
        <w:rPr>
          <w:rFonts w:hint="eastAsia"/>
        </w:rPr>
        <w:t>二、中華民國一百十年退休者，</w:t>
      </w:r>
      <w:proofErr w:type="gramStart"/>
      <w:r w:rsidRPr="005C1111">
        <w:rPr>
          <w:rFonts w:hint="eastAsia"/>
        </w:rPr>
        <w:t>應年滿</w:t>
      </w:r>
      <w:proofErr w:type="gramEnd"/>
      <w:r w:rsidRPr="005C1111">
        <w:rPr>
          <w:rFonts w:hint="eastAsia"/>
        </w:rPr>
        <w:t>六十歲，其後每一年提高一歲，至中華民國一百十五年一月一日以後為六十五歲。</w:t>
      </w:r>
    </w:p>
    <w:p w:rsidR="00F15585" w:rsidRPr="005C1111" w:rsidRDefault="00F15585" w:rsidP="00F15585">
      <w:pPr>
        <w:pStyle w:val="a8"/>
        <w:ind w:left="1380" w:firstLine="480"/>
        <w:rPr>
          <w:rFonts w:hint="eastAsia"/>
        </w:rPr>
      </w:pPr>
      <w:r w:rsidRPr="005C1111">
        <w:rPr>
          <w:rFonts w:hint="eastAsia"/>
        </w:rPr>
        <w:t>公務人員任職滿十五年，依第十七條第二項規定辦理退休者，年滿五十五歲，得擇領全額月退休金。</w:t>
      </w:r>
    </w:p>
    <w:p w:rsidR="00F15585" w:rsidRPr="005C1111" w:rsidRDefault="00F15585" w:rsidP="00F15585">
      <w:pPr>
        <w:pStyle w:val="a8"/>
        <w:ind w:left="1380" w:firstLine="480"/>
        <w:rPr>
          <w:rFonts w:hint="eastAsia"/>
        </w:rPr>
      </w:pPr>
      <w:r w:rsidRPr="005C1111">
        <w:rPr>
          <w:rFonts w:hint="eastAsia"/>
        </w:rPr>
        <w:t>公務人員任職滿二十五年，依第十七條第六項規定辦理退休者，年滿五十五歲，得擇領全額月退休金；於中華民國一百十年後退休者，其後每一年提高一歲，至中華民國一百十五年一月一日以後為六十歲。</w:t>
      </w:r>
    </w:p>
    <w:p w:rsidR="00F15585" w:rsidRPr="005C1111" w:rsidRDefault="00F15585" w:rsidP="00F15585">
      <w:pPr>
        <w:pStyle w:val="a8"/>
        <w:ind w:left="1380" w:firstLine="480"/>
        <w:rPr>
          <w:rFonts w:hint="eastAsia"/>
        </w:rPr>
      </w:pPr>
      <w:r w:rsidRPr="005C1111">
        <w:rPr>
          <w:rFonts w:hint="eastAsia"/>
        </w:rPr>
        <w:t>前三項人員於未達月</w:t>
      </w:r>
      <w:proofErr w:type="gramStart"/>
      <w:r w:rsidRPr="005C1111">
        <w:rPr>
          <w:rFonts w:hint="eastAsia"/>
        </w:rPr>
        <w:t>退休金起支年齡</w:t>
      </w:r>
      <w:proofErr w:type="gramEnd"/>
      <w:r w:rsidRPr="005C1111">
        <w:rPr>
          <w:rFonts w:hint="eastAsia"/>
        </w:rPr>
        <w:t>前，得就下列方式，擇一請領退休金：</w:t>
      </w:r>
    </w:p>
    <w:p w:rsidR="00F15585" w:rsidRPr="005C1111" w:rsidRDefault="00F15585" w:rsidP="00F15585">
      <w:pPr>
        <w:pStyle w:val="a6"/>
        <w:ind w:left="2160" w:hanging="240"/>
        <w:rPr>
          <w:rFonts w:hint="eastAsia"/>
        </w:rPr>
      </w:pPr>
      <w:r w:rsidRPr="005C1111">
        <w:rPr>
          <w:rFonts w:hint="eastAsia"/>
        </w:rPr>
        <w:t>一、支領一次退休金。</w:t>
      </w:r>
    </w:p>
    <w:p w:rsidR="00F15585" w:rsidRPr="005C1111" w:rsidRDefault="00F15585" w:rsidP="00F15585">
      <w:pPr>
        <w:pStyle w:val="a6"/>
        <w:ind w:left="2160" w:hanging="240"/>
        <w:rPr>
          <w:rFonts w:hint="eastAsia"/>
        </w:rPr>
      </w:pPr>
      <w:r w:rsidRPr="005C1111">
        <w:rPr>
          <w:rFonts w:hint="eastAsia"/>
        </w:rPr>
        <w:t>二、至年滿月</w:t>
      </w:r>
      <w:proofErr w:type="gramStart"/>
      <w:r w:rsidRPr="005C1111">
        <w:rPr>
          <w:rFonts w:hint="eastAsia"/>
        </w:rPr>
        <w:t>退休金起支年齡</w:t>
      </w:r>
      <w:proofErr w:type="gramEnd"/>
      <w:r w:rsidRPr="005C1111">
        <w:rPr>
          <w:rFonts w:hint="eastAsia"/>
        </w:rPr>
        <w:t>之日起，領取全額月退休金（以下簡稱展期月退休金）。</w:t>
      </w:r>
    </w:p>
    <w:p w:rsidR="00F15585" w:rsidRPr="005C1111" w:rsidRDefault="00F15585" w:rsidP="00F15585">
      <w:pPr>
        <w:pStyle w:val="a6"/>
        <w:ind w:left="2160" w:hanging="240"/>
        <w:rPr>
          <w:rFonts w:hint="eastAsia"/>
        </w:rPr>
      </w:pPr>
      <w:r w:rsidRPr="005C1111">
        <w:rPr>
          <w:rFonts w:hint="eastAsia"/>
        </w:rPr>
        <w:t>三、提前於年滿月</w:t>
      </w:r>
      <w:proofErr w:type="gramStart"/>
      <w:r w:rsidRPr="005C1111">
        <w:rPr>
          <w:rFonts w:hint="eastAsia"/>
        </w:rPr>
        <w:t>退休金起支年齡</w:t>
      </w:r>
      <w:proofErr w:type="gramEnd"/>
      <w:r w:rsidRPr="005C1111">
        <w:rPr>
          <w:rFonts w:hint="eastAsia"/>
        </w:rPr>
        <w:t>前，開始領取月退休金；每提前一年，</w:t>
      </w:r>
      <w:proofErr w:type="gramStart"/>
      <w:r w:rsidRPr="005C1111">
        <w:rPr>
          <w:rFonts w:hint="eastAsia"/>
        </w:rPr>
        <w:t>減發百分之四</w:t>
      </w:r>
      <w:proofErr w:type="gramEnd"/>
      <w:r w:rsidRPr="005C1111">
        <w:rPr>
          <w:rFonts w:hint="eastAsia"/>
        </w:rPr>
        <w:t>（以下簡稱減額月退休金），最多得提前五年，</w:t>
      </w:r>
      <w:proofErr w:type="gramStart"/>
      <w:r w:rsidRPr="005C1111">
        <w:rPr>
          <w:rFonts w:hint="eastAsia"/>
        </w:rPr>
        <w:t>減發百分之二十</w:t>
      </w:r>
      <w:proofErr w:type="gramEnd"/>
      <w:r w:rsidRPr="005C1111">
        <w:rPr>
          <w:rFonts w:hint="eastAsia"/>
        </w:rPr>
        <w:t>。</w:t>
      </w:r>
    </w:p>
    <w:p w:rsidR="00F15585" w:rsidRPr="005C1111" w:rsidRDefault="00F15585" w:rsidP="00F15585">
      <w:pPr>
        <w:pStyle w:val="a6"/>
        <w:ind w:left="2160" w:hanging="240"/>
        <w:rPr>
          <w:rFonts w:hint="eastAsia"/>
        </w:rPr>
      </w:pPr>
      <w:r w:rsidRPr="005C1111">
        <w:rPr>
          <w:rFonts w:hint="eastAsia"/>
        </w:rPr>
        <w:t>四、支領二分之一之一次退休金，並至年滿月</w:t>
      </w:r>
      <w:proofErr w:type="gramStart"/>
      <w:r w:rsidRPr="005C1111">
        <w:rPr>
          <w:rFonts w:hint="eastAsia"/>
        </w:rPr>
        <w:t>退休金起支年齡</w:t>
      </w:r>
      <w:proofErr w:type="gramEnd"/>
      <w:r w:rsidRPr="005C1111">
        <w:rPr>
          <w:rFonts w:hint="eastAsia"/>
        </w:rPr>
        <w:t>之日起領取二分之一之月退休金。</w:t>
      </w:r>
    </w:p>
    <w:p w:rsidR="00F15585" w:rsidRPr="005C1111" w:rsidRDefault="00F15585" w:rsidP="00F15585">
      <w:pPr>
        <w:pStyle w:val="a6"/>
        <w:ind w:left="2160" w:hanging="240"/>
        <w:rPr>
          <w:rFonts w:hint="eastAsia"/>
        </w:rPr>
      </w:pPr>
      <w:r w:rsidRPr="005C1111">
        <w:rPr>
          <w:rFonts w:hint="eastAsia"/>
        </w:rPr>
        <w:t>五、支領二分之一之一次退休金，並提前於年滿月</w:t>
      </w:r>
      <w:proofErr w:type="gramStart"/>
      <w:r w:rsidRPr="005C1111">
        <w:rPr>
          <w:rFonts w:hint="eastAsia"/>
        </w:rPr>
        <w:t>退休金起支年齡</w:t>
      </w:r>
      <w:proofErr w:type="gramEnd"/>
      <w:r w:rsidRPr="005C1111">
        <w:rPr>
          <w:rFonts w:hint="eastAsia"/>
        </w:rPr>
        <w:t>前開始領取二分之一之月退休金，每提前</w:t>
      </w:r>
      <w:proofErr w:type="gramStart"/>
      <w:r w:rsidRPr="005C1111">
        <w:rPr>
          <w:rFonts w:hint="eastAsia"/>
        </w:rPr>
        <w:t>一年減發百分之四</w:t>
      </w:r>
      <w:proofErr w:type="gramEnd"/>
      <w:r w:rsidRPr="005C1111">
        <w:rPr>
          <w:rFonts w:hint="eastAsia"/>
        </w:rPr>
        <w:t>，最多得提前</w:t>
      </w:r>
      <w:proofErr w:type="gramStart"/>
      <w:r w:rsidRPr="005C1111">
        <w:rPr>
          <w:rFonts w:hint="eastAsia"/>
        </w:rPr>
        <w:t>五年減發百分之二十</w:t>
      </w:r>
      <w:proofErr w:type="gramEnd"/>
      <w:r w:rsidRPr="005C1111">
        <w:rPr>
          <w:rFonts w:hint="eastAsia"/>
        </w:rPr>
        <w:t>。</w:t>
      </w:r>
    </w:p>
    <w:p w:rsidR="00F15585" w:rsidRPr="005C1111" w:rsidRDefault="00F15585" w:rsidP="00F15585">
      <w:pPr>
        <w:pStyle w:val="a8"/>
        <w:ind w:left="1380" w:firstLine="480"/>
        <w:rPr>
          <w:rFonts w:hint="eastAsia"/>
        </w:rPr>
      </w:pPr>
      <w:r w:rsidRPr="005C1111">
        <w:rPr>
          <w:rFonts w:hint="eastAsia"/>
        </w:rPr>
        <w:t>公務人員退休生效日在本法公布施行前，原經審定支領展期月退休金</w:t>
      </w:r>
      <w:r w:rsidRPr="005C1111">
        <w:rPr>
          <w:rFonts w:hint="eastAsia"/>
        </w:rPr>
        <w:lastRenderedPageBreak/>
        <w:t>或</w:t>
      </w:r>
      <w:proofErr w:type="gramStart"/>
      <w:r w:rsidRPr="005C1111">
        <w:rPr>
          <w:rFonts w:hint="eastAsia"/>
        </w:rPr>
        <w:t>減額月退休金</w:t>
      </w:r>
      <w:proofErr w:type="gramEnd"/>
      <w:r w:rsidRPr="005C1111">
        <w:rPr>
          <w:rFonts w:hint="eastAsia"/>
        </w:rPr>
        <w:t>者，仍依原適用之規定辦理。</w:t>
      </w:r>
    </w:p>
    <w:p w:rsidR="00F15585" w:rsidRPr="005C1111" w:rsidRDefault="00F15585" w:rsidP="00F15585">
      <w:pPr>
        <w:pStyle w:val="a8"/>
        <w:ind w:left="1380" w:firstLine="480"/>
        <w:rPr>
          <w:rFonts w:hint="eastAsia"/>
        </w:rPr>
      </w:pPr>
      <w:r w:rsidRPr="005C1111">
        <w:rPr>
          <w:rFonts w:hint="eastAsia"/>
        </w:rPr>
        <w:t>第一項人員依第十七條第一項規定辦理退休而有下列情事之</w:t>
      </w:r>
      <w:proofErr w:type="gramStart"/>
      <w:r w:rsidRPr="005C1111">
        <w:rPr>
          <w:rFonts w:hint="eastAsia"/>
        </w:rPr>
        <w:t>一</w:t>
      </w:r>
      <w:proofErr w:type="gramEnd"/>
      <w:r w:rsidRPr="005C1111">
        <w:rPr>
          <w:rFonts w:hint="eastAsia"/>
        </w:rPr>
        <w:t>者，得擇領或兼領全額月退休金，不受第一</w:t>
      </w:r>
      <w:proofErr w:type="gramStart"/>
      <w:r w:rsidRPr="005C1111">
        <w:rPr>
          <w:rFonts w:hint="eastAsia"/>
        </w:rPr>
        <w:t>項月退休金起支</w:t>
      </w:r>
      <w:proofErr w:type="gramEnd"/>
      <w:r w:rsidRPr="005C1111">
        <w:rPr>
          <w:rFonts w:hint="eastAsia"/>
        </w:rPr>
        <w:t>年齡之限制：</w:t>
      </w:r>
    </w:p>
    <w:p w:rsidR="00F15585" w:rsidRPr="005C1111" w:rsidRDefault="00F15585" w:rsidP="00F15585">
      <w:pPr>
        <w:pStyle w:val="a6"/>
        <w:ind w:left="2160" w:hanging="240"/>
        <w:rPr>
          <w:rFonts w:hint="eastAsia"/>
        </w:rPr>
      </w:pPr>
      <w:r w:rsidRPr="005C1111">
        <w:rPr>
          <w:rFonts w:hint="eastAsia"/>
        </w:rPr>
        <w:t>一、曾依公教人員保險法規定領有失能給付，且於退休前五年內有申請延長病假致考績列丙等或無考績之事實。</w:t>
      </w:r>
    </w:p>
    <w:p w:rsidR="00F15585" w:rsidRPr="005C1111" w:rsidRDefault="00F15585" w:rsidP="00F15585">
      <w:pPr>
        <w:pStyle w:val="a6"/>
        <w:ind w:left="2160" w:hanging="240"/>
        <w:rPr>
          <w:rFonts w:hint="eastAsia"/>
        </w:rPr>
      </w:pPr>
      <w:r w:rsidRPr="005C1111">
        <w:rPr>
          <w:rFonts w:hint="eastAsia"/>
        </w:rPr>
        <w:t>二、退休生效時符合下列年齡規定，且可</w:t>
      </w:r>
      <w:proofErr w:type="gramStart"/>
      <w:r w:rsidRPr="005C1111">
        <w:rPr>
          <w:rFonts w:hint="eastAsia"/>
        </w:rPr>
        <w:t>採</w:t>
      </w:r>
      <w:proofErr w:type="gramEnd"/>
      <w:r w:rsidRPr="005C1111">
        <w:rPr>
          <w:rFonts w:hint="eastAsia"/>
        </w:rPr>
        <w:t>計退休年資與實際年齡合計數大於或等於附表二所定年度指標數：</w:t>
      </w:r>
    </w:p>
    <w:p w:rsidR="00F15585" w:rsidRPr="005C1111" w:rsidRDefault="00F15585" w:rsidP="00F15585">
      <w:pPr>
        <w:spacing w:line="500" w:lineRule="exact"/>
        <w:ind w:leftChars="900" w:left="2640" w:hangingChars="200" w:hanging="480"/>
        <w:rPr>
          <w:rFonts w:hint="eastAsia"/>
        </w:rPr>
      </w:pPr>
      <w:r w:rsidRPr="005C1111">
        <w:rPr>
          <w:rFonts w:ascii="華康細明體" w:hint="eastAsia"/>
        </w:rPr>
        <w:t>(</w:t>
      </w:r>
      <w:proofErr w:type="gramStart"/>
      <w:r w:rsidRPr="005C1111">
        <w:rPr>
          <w:rFonts w:hint="eastAsia"/>
        </w:rPr>
        <w:t>一</w:t>
      </w:r>
      <w:proofErr w:type="gramEnd"/>
      <w:r w:rsidRPr="005C1111">
        <w:rPr>
          <w:rFonts w:ascii="華康細明體" w:hint="eastAsia"/>
        </w:rPr>
        <w:t>)</w:t>
      </w:r>
      <w:r w:rsidRPr="005C1111">
        <w:rPr>
          <w:rFonts w:hint="eastAsia"/>
        </w:rPr>
        <w:t>中華民國一百零九年十二月三十一日以前退休者，</w:t>
      </w:r>
      <w:proofErr w:type="gramStart"/>
      <w:r w:rsidRPr="005C1111">
        <w:rPr>
          <w:rFonts w:hint="eastAsia"/>
        </w:rPr>
        <w:t>應年滿</w:t>
      </w:r>
      <w:proofErr w:type="gramEnd"/>
      <w:r w:rsidRPr="005C1111">
        <w:rPr>
          <w:rFonts w:hint="eastAsia"/>
        </w:rPr>
        <w:t>五十歲。</w:t>
      </w:r>
    </w:p>
    <w:p w:rsidR="00F15585" w:rsidRPr="005C1111" w:rsidRDefault="00F15585" w:rsidP="00F15585">
      <w:pPr>
        <w:spacing w:line="500" w:lineRule="exact"/>
        <w:ind w:leftChars="900" w:left="2640" w:hangingChars="200" w:hanging="480"/>
        <w:rPr>
          <w:rFonts w:hint="eastAsia"/>
        </w:rPr>
      </w:pPr>
      <w:r w:rsidRPr="005C1111">
        <w:rPr>
          <w:rFonts w:ascii="華康細明體" w:hint="eastAsia"/>
        </w:rPr>
        <w:t>(</w:t>
      </w:r>
      <w:r w:rsidRPr="005C1111">
        <w:rPr>
          <w:rFonts w:hint="eastAsia"/>
        </w:rPr>
        <w:t>二</w:t>
      </w:r>
      <w:r w:rsidRPr="005C1111">
        <w:rPr>
          <w:rFonts w:ascii="華康細明體" w:hint="eastAsia"/>
        </w:rPr>
        <w:t>)</w:t>
      </w:r>
      <w:r w:rsidRPr="005C1111">
        <w:rPr>
          <w:rFonts w:hint="eastAsia"/>
        </w:rPr>
        <w:t>中華民國一百十年一月一日至中華民國一百十四年十二月三十一日退休者，</w:t>
      </w:r>
      <w:proofErr w:type="gramStart"/>
      <w:r w:rsidRPr="005C1111">
        <w:rPr>
          <w:rFonts w:hint="eastAsia"/>
        </w:rPr>
        <w:t>應年滿</w:t>
      </w:r>
      <w:proofErr w:type="gramEnd"/>
      <w:r w:rsidRPr="005C1111">
        <w:rPr>
          <w:rFonts w:hint="eastAsia"/>
        </w:rPr>
        <w:t>五十五歲。</w:t>
      </w:r>
    </w:p>
    <w:p w:rsidR="00F15585" w:rsidRPr="005C1111" w:rsidRDefault="00F15585" w:rsidP="00F15585">
      <w:pPr>
        <w:spacing w:line="500" w:lineRule="exact"/>
        <w:ind w:leftChars="900" w:left="2640" w:hangingChars="200" w:hanging="480"/>
        <w:rPr>
          <w:rFonts w:hint="eastAsia"/>
        </w:rPr>
      </w:pPr>
      <w:r w:rsidRPr="005C1111">
        <w:rPr>
          <w:rFonts w:ascii="華康細明體" w:hint="eastAsia"/>
        </w:rPr>
        <w:t>(</w:t>
      </w:r>
      <w:r w:rsidRPr="005C1111">
        <w:rPr>
          <w:rFonts w:hint="eastAsia"/>
        </w:rPr>
        <w:t>三</w:t>
      </w:r>
      <w:r w:rsidRPr="005C1111">
        <w:rPr>
          <w:rFonts w:ascii="華康細明體" w:hint="eastAsia"/>
        </w:rPr>
        <w:t>)</w:t>
      </w:r>
      <w:r w:rsidRPr="005C1111">
        <w:rPr>
          <w:rFonts w:hint="eastAsia"/>
        </w:rPr>
        <w:t>中華民國一百十五年一月一日以後退休者，</w:t>
      </w:r>
      <w:proofErr w:type="gramStart"/>
      <w:r w:rsidRPr="005C1111">
        <w:rPr>
          <w:rFonts w:hint="eastAsia"/>
        </w:rPr>
        <w:t>應年滿</w:t>
      </w:r>
      <w:proofErr w:type="gramEnd"/>
      <w:r w:rsidRPr="005C1111">
        <w:rPr>
          <w:rFonts w:hint="eastAsia"/>
        </w:rPr>
        <w:t>六十歲。</w:t>
      </w:r>
    </w:p>
    <w:p w:rsidR="00A520D9" w:rsidRPr="00F15585" w:rsidRDefault="00F15585" w:rsidP="00F15585">
      <w:pPr>
        <w:pStyle w:val="a8"/>
        <w:ind w:left="1380" w:firstLine="480"/>
        <w:rPr>
          <w:rFonts w:hint="eastAsia"/>
        </w:rPr>
      </w:pPr>
      <w:r w:rsidRPr="00F15585">
        <w:rPr>
          <w:rFonts w:hint="eastAsia"/>
        </w:rPr>
        <w:t>前項第二款所定退休年資與實際年齡合計數，應以整數年資及整數歲數合併計算之；未滿一年之</w:t>
      </w:r>
      <w:proofErr w:type="gramStart"/>
      <w:r w:rsidRPr="00F15585">
        <w:rPr>
          <w:rFonts w:hint="eastAsia"/>
        </w:rPr>
        <w:t>畸</w:t>
      </w:r>
      <w:proofErr w:type="gramEnd"/>
      <w:r w:rsidRPr="00F15585">
        <w:rPr>
          <w:rFonts w:hint="eastAsia"/>
        </w:rPr>
        <w:t>零年資或歲數均不計。</w:t>
      </w:r>
    </w:p>
    <w:p w:rsidR="00B25AAB" w:rsidRDefault="00B25AAB" w:rsidP="00B25AAB">
      <w:pPr>
        <w:pStyle w:val="a7"/>
        <w:ind w:left="1200" w:hanging="1200"/>
        <w:rPr>
          <w:rFonts w:hint="eastAsia"/>
        </w:rPr>
      </w:pPr>
    </w:p>
    <w:p w:rsidR="00B25AAB" w:rsidRPr="005C1111" w:rsidRDefault="00B25AAB" w:rsidP="00B25AAB">
      <w:pPr>
        <w:pStyle w:val="a7"/>
        <w:ind w:left="1200" w:hanging="1200"/>
        <w:rPr>
          <w:rFonts w:hint="eastAsia"/>
        </w:rPr>
      </w:pPr>
      <w:r w:rsidRPr="005C1111">
        <w:rPr>
          <w:rFonts w:hint="eastAsia"/>
        </w:rPr>
        <w:t>第三十三條　　公務人員依第十七條第三項規定，辦理危</w:t>
      </w:r>
      <w:proofErr w:type="gramStart"/>
      <w:r w:rsidRPr="005C1111">
        <w:rPr>
          <w:rFonts w:hint="eastAsia"/>
        </w:rPr>
        <w:t>勞</w:t>
      </w:r>
      <w:proofErr w:type="gramEnd"/>
      <w:r w:rsidRPr="005C1111">
        <w:rPr>
          <w:rFonts w:hint="eastAsia"/>
        </w:rPr>
        <w:t>職務自願退休時，其退休金依下列規定給與：</w:t>
      </w:r>
    </w:p>
    <w:p w:rsidR="00B25AAB" w:rsidRPr="005C1111" w:rsidRDefault="00B25AAB" w:rsidP="00B25AAB">
      <w:pPr>
        <w:pStyle w:val="a6"/>
        <w:ind w:left="2160" w:hanging="240"/>
        <w:rPr>
          <w:rFonts w:hint="eastAsia"/>
        </w:rPr>
      </w:pPr>
      <w:r w:rsidRPr="005C1111">
        <w:rPr>
          <w:rFonts w:hint="eastAsia"/>
        </w:rPr>
        <w:t>一、退休年資未滿十五年者，給與一次退休金。</w:t>
      </w:r>
    </w:p>
    <w:p w:rsidR="00B25AAB" w:rsidRPr="005C1111" w:rsidRDefault="00B25AAB" w:rsidP="00B25AAB">
      <w:pPr>
        <w:pStyle w:val="a6"/>
        <w:ind w:left="2160" w:hanging="240"/>
        <w:rPr>
          <w:rFonts w:hint="eastAsia"/>
        </w:rPr>
      </w:pPr>
      <w:r w:rsidRPr="005C1111">
        <w:rPr>
          <w:rFonts w:hint="eastAsia"/>
        </w:rPr>
        <w:t>二、退休年資滿十五年且年滿五十五歲者，得依第二十六條所定退休金種類，擇</w:t>
      </w:r>
      <w:proofErr w:type="gramStart"/>
      <w:r w:rsidRPr="005C1111">
        <w:rPr>
          <w:rFonts w:hint="eastAsia"/>
        </w:rPr>
        <w:t>一</w:t>
      </w:r>
      <w:proofErr w:type="gramEnd"/>
      <w:r w:rsidRPr="005C1111">
        <w:rPr>
          <w:rFonts w:hint="eastAsia"/>
        </w:rPr>
        <w:t>支領。</w:t>
      </w:r>
    </w:p>
    <w:p w:rsidR="00B25AAB" w:rsidRPr="005C1111" w:rsidRDefault="00B25AAB" w:rsidP="00B25AAB">
      <w:pPr>
        <w:pStyle w:val="a6"/>
        <w:ind w:left="2160" w:hanging="240"/>
        <w:rPr>
          <w:rFonts w:hint="eastAsia"/>
        </w:rPr>
      </w:pPr>
      <w:r w:rsidRPr="005C1111">
        <w:rPr>
          <w:rFonts w:hint="eastAsia"/>
        </w:rPr>
        <w:t>三、退休年資滿十五年而未滿五十五歲者，依第三十一條第四項規定，擇</w:t>
      </w:r>
      <w:proofErr w:type="gramStart"/>
      <w:r w:rsidRPr="005C1111">
        <w:rPr>
          <w:rFonts w:hint="eastAsia"/>
        </w:rPr>
        <w:t>一</w:t>
      </w:r>
      <w:proofErr w:type="gramEnd"/>
      <w:r w:rsidRPr="005C1111">
        <w:rPr>
          <w:rFonts w:hint="eastAsia"/>
        </w:rPr>
        <w:t>支領退休金。</w:t>
      </w:r>
    </w:p>
    <w:p w:rsidR="00F15585" w:rsidRPr="00B25AAB" w:rsidRDefault="00F15585">
      <w:pPr>
        <w:widowControl/>
      </w:pPr>
    </w:p>
    <w:p w:rsidR="00F15585" w:rsidRDefault="00F15585" w:rsidP="00F15585">
      <w:pPr>
        <w:pageBreakBefore/>
        <w:ind w:left="960" w:right="-1" w:hangingChars="400" w:hanging="960"/>
        <w:rPr>
          <w:rFonts w:ascii="標楷體" w:eastAsia="標楷體" w:hAnsi="標楷體"/>
          <w:color w:val="000000" w:themeColor="text1"/>
        </w:rPr>
      </w:pPr>
      <w:r>
        <w:rPr>
          <w:rFonts w:ascii="標楷體" w:eastAsia="標楷體" w:hAnsi="標楷體" w:hint="eastAsia"/>
          <w:color w:val="000000" w:themeColor="text1"/>
        </w:rPr>
        <w:lastRenderedPageBreak/>
        <w:t>附表二　公務人員退休</w:t>
      </w:r>
      <w:r>
        <w:rPr>
          <w:rFonts w:ascii="標楷體" w:eastAsia="標楷體" w:hAnsi="標楷體" w:hint="eastAsia"/>
          <w:color w:val="000000" w:themeColor="text1"/>
        </w:rPr>
        <w:t>資遣</w:t>
      </w:r>
      <w:r>
        <w:rPr>
          <w:rFonts w:ascii="標楷體" w:eastAsia="標楷體" w:hAnsi="標楷體" w:hint="eastAsia"/>
          <w:color w:val="000000" w:themeColor="text1"/>
        </w:rPr>
        <w:t>撫</w:t>
      </w:r>
      <w:proofErr w:type="gramStart"/>
      <w:r>
        <w:rPr>
          <w:rFonts w:ascii="標楷體" w:eastAsia="標楷體" w:hAnsi="標楷體" w:hint="eastAsia"/>
          <w:color w:val="000000" w:themeColor="text1"/>
        </w:rPr>
        <w:t>卹</w:t>
      </w:r>
      <w:proofErr w:type="gramEnd"/>
      <w:r>
        <w:rPr>
          <w:rFonts w:ascii="標楷體" w:eastAsia="標楷體" w:hAnsi="標楷體" w:hint="eastAsia"/>
          <w:color w:val="000000" w:themeColor="text1"/>
        </w:rPr>
        <w:t>法第三十一條第</w:t>
      </w:r>
      <w:r>
        <w:rPr>
          <w:rFonts w:ascii="標楷體" w:eastAsia="標楷體" w:hAnsi="標楷體" w:hint="eastAsia"/>
          <w:color w:val="000000" w:themeColor="text1"/>
          <w:lang w:eastAsia="zh-HK"/>
        </w:rPr>
        <w:t>六</w:t>
      </w:r>
      <w:r>
        <w:rPr>
          <w:rFonts w:ascii="標楷體" w:eastAsia="標楷體" w:hAnsi="標楷體" w:hint="eastAsia"/>
          <w:color w:val="000000" w:themeColor="text1"/>
        </w:rPr>
        <w:t>項第二款附表－自願退休人員年資與年齡合計法定指標數</w:t>
      </w:r>
    </w:p>
    <w:tbl>
      <w:tblPr>
        <w:tblpPr w:leftFromText="180" w:rightFromText="180" w:vertAnchor="text" w:horzAnchor="margin" w:tblpXSpec="center" w:tblpY="157"/>
        <w:tblOverlap w:val="neve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1774"/>
      </w:tblGrid>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jc w:val="distribute"/>
              <w:rPr>
                <w:rFonts w:ascii="標楷體" w:eastAsia="標楷體" w:hAnsi="標楷體"/>
                <w:color w:val="000000" w:themeColor="text1"/>
                <w:sz w:val="22"/>
              </w:rPr>
            </w:pPr>
            <w:r>
              <w:rPr>
                <w:rFonts w:ascii="標楷體" w:eastAsia="標楷體" w:hAnsi="標楷體" w:hint="eastAsia"/>
                <w:color w:val="000000" w:themeColor="text1"/>
                <w:sz w:val="22"/>
              </w:rPr>
              <w:t>適用期間</w:t>
            </w:r>
          </w:p>
        </w:tc>
        <w:tc>
          <w:tcPr>
            <w:tcW w:w="1774" w:type="dxa"/>
            <w:tcBorders>
              <w:top w:val="single" w:sz="4" w:space="0" w:color="auto"/>
              <w:left w:val="single" w:sz="4" w:space="0" w:color="auto"/>
              <w:bottom w:val="single" w:sz="4" w:space="0" w:color="auto"/>
              <w:right w:val="single" w:sz="4" w:space="0" w:color="auto"/>
            </w:tcBorders>
            <w:hideMark/>
          </w:tcPr>
          <w:p w:rsidR="00F15585" w:rsidRDefault="00F15585">
            <w:pPr>
              <w:jc w:val="distribute"/>
              <w:rPr>
                <w:rFonts w:ascii="標楷體" w:eastAsia="標楷體" w:hAnsi="標楷體"/>
                <w:color w:val="000000" w:themeColor="text1"/>
                <w:sz w:val="22"/>
              </w:rPr>
            </w:pPr>
            <w:r>
              <w:rPr>
                <w:rFonts w:ascii="標楷體" w:eastAsia="標楷體" w:hAnsi="標楷體" w:hint="eastAsia"/>
                <w:color w:val="000000" w:themeColor="text1"/>
                <w:sz w:val="22"/>
              </w:rPr>
              <w:t>指標數</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中華民國一百年一月一日至一百年十二月三十一日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七十五</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中華民國一百零一年一月一日至一百零一年十二月三十一日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七十六</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中華民國一百零二年一月一日至一百零二年十二月三十一日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七十七</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中華民國一百零三年一月一日至一百零三年十二月三十一日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七十八</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中華民國一百零四年一月一日至一百零四年十二月三十一日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七十九</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中華民國一百零五年一月一日至一百零五年十二月三十一日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中華民國一百零六年一月一日至一百零六年十二月三十一日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八十一</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中華民國一百零七年一月一日至一百零七年十二月三十一日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八十二</w:t>
            </w:r>
          </w:p>
        </w:tc>
      </w:tr>
      <w:tr w:rsidR="00F15585" w:rsidTr="00F15585">
        <w:trPr>
          <w:trHeight w:val="258"/>
        </w:trPr>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中華民國一百零八年一月一日至一百零八年十二月三十一日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八十三</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中華民國一百零九年一月一日至一百零九年十二月三十一日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八十四</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中華民國一百十年一月一日至一百十年十二月三十一日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八十五</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中華民國一百十一年一月一日至一百十一年十二月三十一日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八十六</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中華民國一百十二年一月一日至一百十二年十二月三十一日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八十七</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中華民國一百十三年一月一日至一百十三年十二月三十一日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八十八</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中華民國一百十四年一月一日至一百十四年十二月三十一日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八十九</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中華民國一百十五年一月一日至一百十五年十二月三十一日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九十</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中華民國一百十六年一月一日至一百十六年十二月三十一日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九十一</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中華民國一百十七年一月一日至一百十七年十二月三十一日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九十二</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中華民國一百十八年一月一日至一百十八年十二月三十一日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九十三</w:t>
            </w:r>
          </w:p>
        </w:tc>
      </w:tr>
      <w:tr w:rsidR="00F15585" w:rsidTr="00F15585">
        <w:tc>
          <w:tcPr>
            <w:tcW w:w="7208" w:type="dxa"/>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中華民國一百十九年一月一日至一百十九年十二月三十一日</w:t>
            </w:r>
          </w:p>
        </w:tc>
        <w:tc>
          <w:tcPr>
            <w:tcW w:w="1774" w:type="dxa"/>
            <w:tcBorders>
              <w:top w:val="single" w:sz="4" w:space="0" w:color="auto"/>
              <w:left w:val="single" w:sz="4" w:space="0" w:color="auto"/>
              <w:bottom w:val="single" w:sz="4" w:space="0" w:color="auto"/>
              <w:right w:val="single" w:sz="4" w:space="0" w:color="auto"/>
            </w:tcBorders>
            <w:vAlign w:val="center"/>
            <w:hideMark/>
          </w:tcPr>
          <w:p w:rsidR="00F15585" w:rsidRDefault="00F15585">
            <w:pPr>
              <w:jc w:val="center"/>
              <w:rPr>
                <w:rFonts w:ascii="標楷體" w:eastAsia="標楷體" w:hAnsi="標楷體"/>
                <w:color w:val="000000" w:themeColor="text1"/>
                <w:sz w:val="22"/>
              </w:rPr>
            </w:pPr>
            <w:r>
              <w:rPr>
                <w:rFonts w:ascii="標楷體" w:eastAsia="標楷體" w:hAnsi="標楷體" w:hint="eastAsia"/>
                <w:color w:val="000000" w:themeColor="text1"/>
                <w:sz w:val="22"/>
              </w:rPr>
              <w:t>九十四</w:t>
            </w:r>
          </w:p>
        </w:tc>
      </w:tr>
      <w:tr w:rsidR="00F15585" w:rsidTr="00F15585">
        <w:tc>
          <w:tcPr>
            <w:tcW w:w="8982" w:type="dxa"/>
            <w:gridSpan w:val="2"/>
            <w:tcBorders>
              <w:top w:val="single" w:sz="4" w:space="0" w:color="auto"/>
              <w:left w:val="single" w:sz="4" w:space="0" w:color="auto"/>
              <w:bottom w:val="single" w:sz="4" w:space="0" w:color="auto"/>
              <w:right w:val="single" w:sz="4" w:space="0" w:color="auto"/>
            </w:tcBorders>
            <w:hideMark/>
          </w:tcPr>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註記：</w:t>
            </w:r>
          </w:p>
          <w:p w:rsidR="00F15585" w:rsidRDefault="00F15585">
            <w:pPr>
              <w:rPr>
                <w:rFonts w:ascii="標楷體" w:eastAsia="標楷體" w:hAnsi="標楷體"/>
                <w:color w:val="000000" w:themeColor="text1"/>
                <w:sz w:val="22"/>
              </w:rPr>
            </w:pPr>
            <w:r>
              <w:rPr>
                <w:rFonts w:ascii="標楷體" w:eastAsia="標楷體" w:hAnsi="標楷體" w:hint="eastAsia"/>
                <w:color w:val="000000" w:themeColor="text1"/>
                <w:sz w:val="22"/>
              </w:rPr>
              <w:t>本表所定過渡期間指標數之年齡，在中華民國一百零九年以前退休者，須年滿五十歲；中華民國一百十年一月一日至一百十四年十二月三十一日退休者，須年滿五十五歲；中華民國一百十五年以後退休者，須年滿六十歲。</w:t>
            </w:r>
          </w:p>
        </w:tc>
      </w:tr>
    </w:tbl>
    <w:p w:rsidR="00F15585" w:rsidRDefault="00F15585" w:rsidP="00F15585">
      <w:pPr>
        <w:rPr>
          <w:rFonts w:hint="eastAsia"/>
        </w:rPr>
      </w:pPr>
    </w:p>
    <w:p w:rsidR="008806B9" w:rsidRDefault="008806B9">
      <w:pPr>
        <w:widowControl/>
      </w:pPr>
      <w:r>
        <w:br w:type="page"/>
      </w:r>
    </w:p>
    <w:tbl>
      <w:tblPr>
        <w:tblW w:w="9180" w:type="dxa"/>
        <w:tblCellMar>
          <w:left w:w="0" w:type="dxa"/>
          <w:right w:w="0" w:type="dxa"/>
        </w:tblCellMar>
        <w:tblLook w:val="01E0" w:firstRow="1" w:lastRow="1" w:firstColumn="1" w:lastColumn="1" w:noHBand="0" w:noVBand="0"/>
      </w:tblPr>
      <w:tblGrid>
        <w:gridCol w:w="1526"/>
        <w:gridCol w:w="2977"/>
        <w:gridCol w:w="2409"/>
        <w:gridCol w:w="2268"/>
      </w:tblGrid>
      <w:tr w:rsidR="008806B9" w:rsidRPr="008806B9" w:rsidTr="008806B9">
        <w:trPr>
          <w:trHeight w:val="1828"/>
        </w:trPr>
        <w:tc>
          <w:tcPr>
            <w:tcW w:w="9180" w:type="dxa"/>
            <w:gridSpan w:val="4"/>
            <w:tcBorders>
              <w:top w:val="single" w:sz="6" w:space="0" w:color="46AAC5"/>
              <w:left w:val="single" w:sz="6" w:space="0" w:color="46AAC5"/>
              <w:bottom w:val="single" w:sz="6" w:space="0" w:color="46AAC5"/>
              <w:right w:val="single" w:sz="6" w:space="0" w:color="46AAC5"/>
            </w:tcBorders>
            <w:shd w:val="clear" w:color="auto" w:fill="4BACC6"/>
            <w:tcMar>
              <w:top w:w="15" w:type="dxa"/>
              <w:left w:w="108" w:type="dxa"/>
              <w:bottom w:w="0" w:type="dxa"/>
              <w:right w:w="108" w:type="dxa"/>
            </w:tcMar>
            <w:vAlign w:val="center"/>
            <w:hideMark/>
          </w:tcPr>
          <w:p w:rsidR="008806B9" w:rsidRPr="008806B9" w:rsidRDefault="008806B9" w:rsidP="008806B9">
            <w:pPr>
              <w:widowControl/>
              <w:spacing w:line="500" w:lineRule="exact"/>
              <w:jc w:val="center"/>
              <w:rPr>
                <w:rFonts w:ascii="Arial" w:hAnsi="Arial" w:cs="Arial"/>
                <w:kern w:val="0"/>
                <w:sz w:val="36"/>
                <w:szCs w:val="36"/>
              </w:rPr>
            </w:pPr>
            <w:r w:rsidRPr="008806B9">
              <w:rPr>
                <w:rFonts w:ascii="微軟正黑體" w:eastAsia="微軟正黑體" w:hAnsi="微軟正黑體" w:cs="Arial" w:hint="eastAsia"/>
                <w:b/>
                <w:bCs/>
                <w:color w:val="FFFFFF"/>
                <w:sz w:val="40"/>
                <w:szCs w:val="40"/>
              </w:rPr>
              <w:lastRenderedPageBreak/>
              <w:t>公務人員月</w:t>
            </w:r>
            <w:proofErr w:type="gramStart"/>
            <w:r w:rsidRPr="008806B9">
              <w:rPr>
                <w:rFonts w:ascii="微軟正黑體" w:eastAsia="微軟正黑體" w:hAnsi="微軟正黑體" w:cs="Arial" w:hint="eastAsia"/>
                <w:b/>
                <w:bCs/>
                <w:color w:val="FFFFFF"/>
                <w:sz w:val="40"/>
                <w:szCs w:val="40"/>
              </w:rPr>
              <w:t>退休金起支年齡</w:t>
            </w:r>
            <w:proofErr w:type="gramEnd"/>
            <w:r w:rsidRPr="008806B9">
              <w:rPr>
                <w:rFonts w:ascii="微軟正黑體" w:eastAsia="微軟正黑體" w:hAnsi="微軟正黑體" w:cs="Arial" w:hint="eastAsia"/>
                <w:b/>
                <w:bCs/>
                <w:color w:val="FFFFFF"/>
                <w:sz w:val="40"/>
                <w:szCs w:val="40"/>
              </w:rPr>
              <w:t>簡表</w:t>
            </w:r>
            <w:r w:rsidRPr="008806B9">
              <w:rPr>
                <w:rFonts w:ascii="微軟正黑體" w:eastAsia="微軟正黑體" w:hAnsi="微軟正黑體" w:cs="Arial"/>
                <w:b/>
                <w:bCs/>
                <w:color w:val="FFFFFF"/>
                <w:sz w:val="40"/>
                <w:szCs w:val="40"/>
              </w:rPr>
              <w:br/>
            </w:r>
            <w:proofErr w:type="gramStart"/>
            <w:r w:rsidRPr="008806B9">
              <w:rPr>
                <w:rFonts w:ascii="微軟正黑體" w:eastAsia="微軟正黑體" w:hAnsi="微軟正黑體" w:cs="Arial" w:hint="eastAsia"/>
                <w:b/>
                <w:bCs/>
                <w:color w:val="FFFFFF"/>
                <w:sz w:val="28"/>
                <w:szCs w:val="28"/>
              </w:rPr>
              <w:t>採</w:t>
            </w:r>
            <w:proofErr w:type="gramEnd"/>
            <w:r w:rsidRPr="008806B9">
              <w:rPr>
                <w:rFonts w:ascii="微軟正黑體" w:eastAsia="微軟正黑體" w:hAnsi="微軟正黑體" w:cs="Arial" w:hint="eastAsia"/>
                <w:b/>
                <w:bCs/>
                <w:color w:val="FFFFFF"/>
                <w:sz w:val="28"/>
                <w:szCs w:val="28"/>
              </w:rPr>
              <w:t>單一年齡</w:t>
            </w:r>
            <w:r w:rsidRPr="008806B9">
              <w:rPr>
                <w:rFonts w:ascii="微軟正黑體" w:eastAsia="微軟正黑體" w:hAnsi="微軟正黑體" w:cs="Arial" w:hint="eastAsia"/>
                <w:b/>
                <w:bCs/>
                <w:color w:val="C00000"/>
                <w:sz w:val="36"/>
                <w:szCs w:val="36"/>
              </w:rPr>
              <w:t>65歲</w:t>
            </w:r>
            <w:r w:rsidRPr="008806B9">
              <w:rPr>
                <w:rFonts w:ascii="微軟正黑體" w:eastAsia="微軟正黑體" w:hAnsi="微軟正黑體" w:cs="Arial" w:hint="eastAsia"/>
                <w:b/>
                <w:bCs/>
                <w:color w:val="FFFFFF"/>
                <w:sz w:val="28"/>
                <w:szCs w:val="28"/>
              </w:rPr>
              <w:t>(5年過渡)</w:t>
            </w:r>
          </w:p>
          <w:p w:rsidR="008806B9" w:rsidRPr="008806B9" w:rsidRDefault="008806B9" w:rsidP="008806B9">
            <w:pPr>
              <w:widowControl/>
              <w:spacing w:line="500" w:lineRule="exact"/>
              <w:jc w:val="center"/>
              <w:rPr>
                <w:rFonts w:ascii="Arial" w:hAnsi="Arial" w:cs="Arial"/>
                <w:kern w:val="0"/>
                <w:sz w:val="36"/>
                <w:szCs w:val="36"/>
              </w:rPr>
            </w:pPr>
            <w:r w:rsidRPr="008806B9">
              <w:rPr>
                <w:rFonts w:ascii="微軟正黑體" w:eastAsia="微軟正黑體" w:hAnsi="微軟正黑體" w:cs="Arial" w:hint="eastAsia"/>
                <w:b/>
                <w:bCs/>
                <w:color w:val="FFFFFF"/>
                <w:sz w:val="28"/>
                <w:szCs w:val="28"/>
              </w:rPr>
              <w:t>※</w:t>
            </w:r>
            <w:r w:rsidRPr="008806B9">
              <w:rPr>
                <w:rFonts w:ascii="微軟正黑體" w:eastAsia="微軟正黑體" w:hAnsi="微軟正黑體" w:cs="Arial" w:hint="eastAsia"/>
                <w:b/>
                <w:bCs/>
                <w:color w:val="C00000"/>
                <w:sz w:val="28"/>
                <w:szCs w:val="28"/>
              </w:rPr>
              <w:t>10年</w:t>
            </w:r>
            <w:r w:rsidRPr="008806B9">
              <w:rPr>
                <w:rFonts w:ascii="微軟正黑體" w:eastAsia="微軟正黑體" w:hAnsi="微軟正黑體" w:cs="Arial" w:hint="eastAsia"/>
                <w:b/>
                <w:bCs/>
                <w:color w:val="FFFFFF"/>
                <w:sz w:val="28"/>
                <w:szCs w:val="28"/>
              </w:rPr>
              <w:t>過渡期與85制緩衝期指標數銜接</w:t>
            </w:r>
          </w:p>
        </w:tc>
      </w:tr>
      <w:tr w:rsidR="008806B9" w:rsidRPr="008806B9" w:rsidTr="008806B9">
        <w:trPr>
          <w:trHeight w:val="279"/>
        </w:trPr>
        <w:tc>
          <w:tcPr>
            <w:tcW w:w="1526" w:type="dxa"/>
            <w:vMerge w:val="restart"/>
            <w:tcBorders>
              <w:top w:val="single" w:sz="6" w:space="0" w:color="46AAC5"/>
              <w:left w:val="single" w:sz="6" w:space="0" w:color="46AAC5"/>
              <w:bottom w:val="single" w:sz="4" w:space="0" w:color="8EB4E3"/>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spacing w:line="279" w:lineRule="atLeast"/>
              <w:jc w:val="center"/>
              <w:rPr>
                <w:rFonts w:ascii="Arial" w:hAnsi="Arial" w:cs="Arial"/>
                <w:kern w:val="0"/>
                <w:sz w:val="28"/>
                <w:szCs w:val="28"/>
              </w:rPr>
            </w:pPr>
            <w:r w:rsidRPr="008806B9">
              <w:rPr>
                <w:rFonts w:ascii="Calibri" w:hAnsi="Arial" w:cs="Arial"/>
                <w:b/>
                <w:bCs/>
                <w:color w:val="000000"/>
                <w:kern w:val="0"/>
                <w:sz w:val="28"/>
                <w:szCs w:val="28"/>
              </w:rPr>
              <w:t>退休年度</w:t>
            </w:r>
          </w:p>
        </w:tc>
        <w:tc>
          <w:tcPr>
            <w:tcW w:w="2977" w:type="dxa"/>
            <w:vMerge w:val="restart"/>
            <w:tcBorders>
              <w:top w:val="single" w:sz="6" w:space="0" w:color="46AAC5"/>
              <w:left w:val="single" w:sz="6" w:space="0" w:color="46AAC5"/>
              <w:bottom w:val="single" w:sz="4" w:space="0" w:color="8EB4E3"/>
              <w:right w:val="single" w:sz="6" w:space="0" w:color="46AAC5"/>
            </w:tcBorders>
            <w:shd w:val="clear" w:color="auto" w:fill="FFCCFF"/>
            <w:tcMar>
              <w:top w:w="15" w:type="dxa"/>
              <w:left w:w="108" w:type="dxa"/>
              <w:bottom w:w="0" w:type="dxa"/>
              <w:right w:w="108" w:type="dxa"/>
            </w:tcMar>
            <w:vAlign w:val="center"/>
            <w:hideMark/>
          </w:tcPr>
          <w:p w:rsidR="008806B9" w:rsidRPr="008806B9" w:rsidRDefault="008806B9" w:rsidP="008806B9">
            <w:pPr>
              <w:widowControl/>
              <w:spacing w:line="279" w:lineRule="atLeast"/>
              <w:jc w:val="center"/>
              <w:rPr>
                <w:rFonts w:ascii="Arial" w:hAnsi="Arial" w:cs="Arial"/>
                <w:kern w:val="0"/>
                <w:sz w:val="28"/>
                <w:szCs w:val="28"/>
              </w:rPr>
            </w:pPr>
            <w:r w:rsidRPr="008806B9">
              <w:rPr>
                <w:rFonts w:ascii="Calibri" w:hAnsi="Arial" w:cs="Arial"/>
                <w:b/>
                <w:bCs/>
                <w:color w:val="000000"/>
                <w:kern w:val="0"/>
                <w:sz w:val="28"/>
                <w:szCs w:val="28"/>
              </w:rPr>
              <w:t>法定年齡</w:t>
            </w:r>
          </w:p>
        </w:tc>
        <w:tc>
          <w:tcPr>
            <w:tcW w:w="4677" w:type="dxa"/>
            <w:gridSpan w:val="2"/>
            <w:tcBorders>
              <w:top w:val="single" w:sz="6" w:space="0" w:color="46AAC5"/>
              <w:left w:val="single" w:sz="6" w:space="0" w:color="46AAC5"/>
              <w:bottom w:val="single" w:sz="18" w:space="0" w:color="0000FF"/>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spacing w:line="279" w:lineRule="atLeast"/>
              <w:jc w:val="center"/>
              <w:rPr>
                <w:rFonts w:ascii="Arial" w:hAnsi="Arial" w:cs="Arial"/>
                <w:kern w:val="0"/>
                <w:sz w:val="28"/>
                <w:szCs w:val="28"/>
              </w:rPr>
            </w:pPr>
            <w:r w:rsidRPr="008806B9">
              <w:rPr>
                <w:rFonts w:ascii="Calibri" w:hAnsi="Arial" w:cs="Arial"/>
                <w:b/>
                <w:bCs/>
                <w:color w:val="000000"/>
                <w:kern w:val="0"/>
                <w:sz w:val="28"/>
                <w:szCs w:val="28"/>
              </w:rPr>
              <w:t>過渡期</w:t>
            </w:r>
          </w:p>
        </w:tc>
      </w:tr>
      <w:tr w:rsidR="008806B9" w:rsidRPr="008806B9" w:rsidTr="008806B9">
        <w:trPr>
          <w:trHeight w:val="443"/>
        </w:trPr>
        <w:tc>
          <w:tcPr>
            <w:tcW w:w="1526" w:type="dxa"/>
            <w:vMerge/>
            <w:tcBorders>
              <w:top w:val="single" w:sz="6" w:space="0" w:color="46AAC5"/>
              <w:left w:val="single" w:sz="6" w:space="0" w:color="46AAC5"/>
              <w:bottom w:val="single" w:sz="4" w:space="0" w:color="8EB4E3"/>
              <w:right w:val="single" w:sz="6" w:space="0" w:color="46AAC5"/>
            </w:tcBorders>
            <w:vAlign w:val="center"/>
            <w:hideMark/>
          </w:tcPr>
          <w:p w:rsidR="008806B9" w:rsidRPr="008806B9" w:rsidRDefault="008806B9" w:rsidP="008806B9">
            <w:pPr>
              <w:widowControl/>
              <w:rPr>
                <w:rFonts w:ascii="Arial" w:hAnsi="Arial" w:cs="Arial"/>
                <w:kern w:val="0"/>
                <w:sz w:val="28"/>
                <w:szCs w:val="28"/>
              </w:rPr>
            </w:pPr>
          </w:p>
        </w:tc>
        <w:tc>
          <w:tcPr>
            <w:tcW w:w="2977" w:type="dxa"/>
            <w:vMerge/>
            <w:tcBorders>
              <w:top w:val="single" w:sz="6" w:space="0" w:color="46AAC5"/>
              <w:left w:val="single" w:sz="6" w:space="0" w:color="46AAC5"/>
              <w:bottom w:val="single" w:sz="4" w:space="0" w:color="8EB4E3"/>
              <w:right w:val="single" w:sz="6" w:space="0" w:color="46AAC5"/>
            </w:tcBorders>
            <w:shd w:val="clear" w:color="auto" w:fill="FFCCFF"/>
            <w:vAlign w:val="center"/>
            <w:hideMark/>
          </w:tcPr>
          <w:p w:rsidR="008806B9" w:rsidRPr="008806B9" w:rsidRDefault="008806B9" w:rsidP="008806B9">
            <w:pPr>
              <w:widowControl/>
              <w:rPr>
                <w:rFonts w:ascii="Arial" w:hAnsi="Arial" w:cs="Arial"/>
                <w:kern w:val="0"/>
                <w:sz w:val="28"/>
                <w:szCs w:val="28"/>
              </w:rPr>
            </w:pPr>
          </w:p>
        </w:tc>
        <w:tc>
          <w:tcPr>
            <w:tcW w:w="2409" w:type="dxa"/>
            <w:tcBorders>
              <w:top w:val="single" w:sz="18" w:space="0" w:color="0000FF"/>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Arial" w:cs="Arial"/>
                <w:b/>
                <w:bCs/>
                <w:color w:val="000000"/>
                <w:kern w:val="0"/>
                <w:sz w:val="28"/>
                <w:szCs w:val="28"/>
              </w:rPr>
              <w:t>指標數</w:t>
            </w:r>
          </w:p>
        </w:tc>
        <w:tc>
          <w:tcPr>
            <w:tcW w:w="2268" w:type="dxa"/>
            <w:tcBorders>
              <w:top w:val="single" w:sz="6" w:space="0" w:color="46AAC5"/>
              <w:left w:val="single" w:sz="18" w:space="0" w:color="0000FF"/>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Arial" w:cs="Arial"/>
                <w:b/>
                <w:bCs/>
                <w:color w:val="000000"/>
                <w:sz w:val="28"/>
                <w:szCs w:val="28"/>
              </w:rPr>
              <w:t>基本年齡</w:t>
            </w:r>
          </w:p>
        </w:tc>
      </w:tr>
      <w:tr w:rsidR="008806B9" w:rsidRPr="008806B9" w:rsidTr="008806B9">
        <w:trPr>
          <w:trHeight w:val="528"/>
        </w:trPr>
        <w:tc>
          <w:tcPr>
            <w:tcW w:w="1526" w:type="dxa"/>
            <w:tcBorders>
              <w:top w:val="single" w:sz="4" w:space="0" w:color="8EB4E3"/>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107</w:t>
            </w:r>
          </w:p>
        </w:tc>
        <w:tc>
          <w:tcPr>
            <w:tcW w:w="2977" w:type="dxa"/>
            <w:tcBorders>
              <w:top w:val="single" w:sz="4" w:space="0" w:color="8EB4E3"/>
              <w:left w:val="single" w:sz="6" w:space="0" w:color="46AAC5"/>
              <w:bottom w:val="single" w:sz="6" w:space="0" w:color="46AAC5"/>
              <w:right w:val="single" w:sz="18" w:space="0" w:color="0000FF"/>
            </w:tcBorders>
            <w:shd w:val="clear" w:color="auto" w:fill="FFCCFF"/>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60</w:t>
            </w:r>
            <w:r w:rsidRPr="008806B9">
              <w:rPr>
                <w:rFonts w:ascii="Calibri" w:hAnsi="Calibri" w:cs="Arial"/>
                <w:color w:val="000000"/>
                <w:kern w:val="0"/>
                <w:sz w:val="28"/>
                <w:szCs w:val="28"/>
              </w:rPr>
              <w:br/>
              <w:t>(55)</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82</w:t>
            </w:r>
          </w:p>
        </w:tc>
        <w:tc>
          <w:tcPr>
            <w:tcW w:w="2268" w:type="dxa"/>
            <w:vMerge w:val="restart"/>
            <w:tcBorders>
              <w:top w:val="single" w:sz="6" w:space="0" w:color="46AAC5"/>
              <w:left w:val="single" w:sz="18" w:space="0" w:color="0000FF"/>
              <w:bottom w:val="single" w:sz="24" w:space="0" w:color="C00000"/>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color w:val="C00000"/>
                <w:kern w:val="0"/>
                <w:sz w:val="32"/>
                <w:szCs w:val="32"/>
              </w:rPr>
            </w:pPr>
            <w:r w:rsidRPr="008806B9">
              <w:rPr>
                <w:rFonts w:ascii="Calibri" w:hAnsi="Calibri" w:cs="Arial"/>
                <w:b/>
                <w:bCs/>
                <w:color w:val="C00000"/>
                <w:sz w:val="32"/>
                <w:szCs w:val="32"/>
              </w:rPr>
              <w:t>50</w:t>
            </w: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108</w:t>
            </w:r>
          </w:p>
        </w:tc>
        <w:tc>
          <w:tcPr>
            <w:tcW w:w="2977" w:type="dxa"/>
            <w:tcBorders>
              <w:top w:val="single" w:sz="6" w:space="0" w:color="46AAC5"/>
              <w:left w:val="single" w:sz="6" w:space="0" w:color="46AAC5"/>
              <w:bottom w:val="single" w:sz="6" w:space="0" w:color="46AAC5"/>
              <w:right w:val="single" w:sz="18" w:space="0" w:color="0000FF"/>
            </w:tcBorders>
            <w:shd w:val="clear" w:color="auto" w:fill="FFCCFF"/>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60</w:t>
            </w:r>
            <w:r w:rsidRPr="008806B9">
              <w:rPr>
                <w:rFonts w:ascii="Calibri" w:hAnsi="Calibri" w:cs="Arial"/>
                <w:color w:val="000000"/>
                <w:kern w:val="0"/>
                <w:sz w:val="28"/>
                <w:szCs w:val="28"/>
              </w:rPr>
              <w:br/>
              <w:t>(55)</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83</w:t>
            </w:r>
          </w:p>
        </w:tc>
        <w:tc>
          <w:tcPr>
            <w:tcW w:w="2268" w:type="dxa"/>
            <w:vMerge/>
            <w:tcBorders>
              <w:top w:val="single" w:sz="6" w:space="0" w:color="46AAC5"/>
              <w:left w:val="single" w:sz="18" w:space="0" w:color="0000FF"/>
              <w:bottom w:val="single" w:sz="24" w:space="0" w:color="C00000"/>
              <w:right w:val="single" w:sz="6" w:space="0" w:color="46AAC5"/>
            </w:tcBorders>
            <w:vAlign w:val="center"/>
            <w:hideMark/>
          </w:tcPr>
          <w:p w:rsidR="008806B9" w:rsidRPr="008806B9" w:rsidRDefault="008806B9" w:rsidP="008806B9">
            <w:pPr>
              <w:widowControl/>
              <w:rPr>
                <w:rFonts w:ascii="Arial" w:hAnsi="Arial" w:cs="Arial"/>
                <w:color w:val="C00000"/>
                <w:kern w:val="0"/>
                <w:sz w:val="32"/>
                <w:szCs w:val="32"/>
              </w:rPr>
            </w:pPr>
          </w:p>
        </w:tc>
      </w:tr>
      <w:tr w:rsidR="008806B9" w:rsidRPr="008806B9" w:rsidTr="008806B9">
        <w:trPr>
          <w:trHeight w:val="528"/>
        </w:trPr>
        <w:tc>
          <w:tcPr>
            <w:tcW w:w="1526" w:type="dxa"/>
            <w:tcBorders>
              <w:top w:val="single" w:sz="6" w:space="0" w:color="46AAC5"/>
              <w:left w:val="single" w:sz="6" w:space="0" w:color="46AAC5"/>
              <w:bottom w:val="single" w:sz="24" w:space="0" w:color="C00000"/>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109</w:t>
            </w:r>
          </w:p>
        </w:tc>
        <w:tc>
          <w:tcPr>
            <w:tcW w:w="2977" w:type="dxa"/>
            <w:tcBorders>
              <w:top w:val="single" w:sz="6" w:space="0" w:color="46AAC5"/>
              <w:left w:val="single" w:sz="6" w:space="0" w:color="46AAC5"/>
              <w:bottom w:val="single" w:sz="24" w:space="0" w:color="C00000"/>
              <w:right w:val="single" w:sz="18" w:space="0" w:color="0000FF"/>
            </w:tcBorders>
            <w:shd w:val="clear" w:color="auto" w:fill="FFCCFF"/>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60</w:t>
            </w:r>
            <w:r w:rsidRPr="008806B9">
              <w:rPr>
                <w:rFonts w:ascii="Calibri" w:hAnsi="Calibri" w:cs="Arial"/>
                <w:color w:val="000000"/>
                <w:kern w:val="0"/>
                <w:sz w:val="28"/>
                <w:szCs w:val="28"/>
              </w:rPr>
              <w:br/>
              <w:t>(55)</w:t>
            </w:r>
          </w:p>
        </w:tc>
        <w:tc>
          <w:tcPr>
            <w:tcW w:w="2409" w:type="dxa"/>
            <w:tcBorders>
              <w:top w:val="single" w:sz="6" w:space="0" w:color="46AAC5"/>
              <w:left w:val="single" w:sz="18" w:space="0" w:color="0000FF"/>
              <w:bottom w:val="single" w:sz="24" w:space="0" w:color="C00000"/>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84</w:t>
            </w:r>
          </w:p>
        </w:tc>
        <w:tc>
          <w:tcPr>
            <w:tcW w:w="2268" w:type="dxa"/>
            <w:vMerge/>
            <w:tcBorders>
              <w:top w:val="single" w:sz="6" w:space="0" w:color="46AAC5"/>
              <w:left w:val="single" w:sz="18" w:space="0" w:color="0000FF"/>
              <w:bottom w:val="single" w:sz="24" w:space="0" w:color="C00000"/>
              <w:right w:val="single" w:sz="6" w:space="0" w:color="46AAC5"/>
            </w:tcBorders>
            <w:vAlign w:val="center"/>
            <w:hideMark/>
          </w:tcPr>
          <w:p w:rsidR="008806B9" w:rsidRPr="008806B9" w:rsidRDefault="008806B9" w:rsidP="008806B9">
            <w:pPr>
              <w:widowControl/>
              <w:rPr>
                <w:rFonts w:ascii="Arial" w:hAnsi="Arial" w:cs="Arial"/>
                <w:color w:val="C00000"/>
                <w:kern w:val="0"/>
                <w:sz w:val="32"/>
                <w:szCs w:val="32"/>
              </w:rPr>
            </w:pPr>
          </w:p>
        </w:tc>
      </w:tr>
      <w:tr w:rsidR="008806B9" w:rsidRPr="008806B9" w:rsidTr="008806B9">
        <w:trPr>
          <w:trHeight w:val="528"/>
        </w:trPr>
        <w:tc>
          <w:tcPr>
            <w:tcW w:w="1526" w:type="dxa"/>
            <w:tcBorders>
              <w:top w:val="single" w:sz="24" w:space="0" w:color="C00000"/>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110</w:t>
            </w:r>
          </w:p>
        </w:tc>
        <w:tc>
          <w:tcPr>
            <w:tcW w:w="2977" w:type="dxa"/>
            <w:tcBorders>
              <w:top w:val="single" w:sz="24" w:space="0" w:color="C00000"/>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60</w:t>
            </w:r>
          </w:p>
        </w:tc>
        <w:tc>
          <w:tcPr>
            <w:tcW w:w="2409" w:type="dxa"/>
            <w:tcBorders>
              <w:top w:val="single" w:sz="24" w:space="0" w:color="C00000"/>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85</w:t>
            </w:r>
          </w:p>
        </w:tc>
        <w:tc>
          <w:tcPr>
            <w:tcW w:w="2268" w:type="dxa"/>
            <w:vMerge w:val="restart"/>
            <w:tcBorders>
              <w:top w:val="single" w:sz="24" w:space="0" w:color="C00000"/>
              <w:left w:val="single" w:sz="18" w:space="0" w:color="0000FF"/>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color w:val="C00000"/>
                <w:kern w:val="0"/>
                <w:sz w:val="32"/>
                <w:szCs w:val="32"/>
              </w:rPr>
            </w:pPr>
            <w:r w:rsidRPr="008806B9">
              <w:rPr>
                <w:rFonts w:ascii="Calibri" w:hAnsi="Calibri" w:cs="Arial"/>
                <w:b/>
                <w:bCs/>
                <w:color w:val="C00000"/>
                <w:sz w:val="32"/>
                <w:szCs w:val="32"/>
              </w:rPr>
              <w:t>55</w:t>
            </w: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111</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61</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86</w:t>
            </w:r>
          </w:p>
        </w:tc>
        <w:tc>
          <w:tcPr>
            <w:tcW w:w="2268" w:type="dxa"/>
            <w:vMerge/>
            <w:tcBorders>
              <w:top w:val="single" w:sz="24" w:space="0" w:color="C00000"/>
              <w:left w:val="single" w:sz="18" w:space="0" w:color="0000FF"/>
              <w:bottom w:val="single" w:sz="6" w:space="0" w:color="46AAC5"/>
              <w:right w:val="single" w:sz="6" w:space="0" w:color="46AAC5"/>
            </w:tcBorders>
            <w:vAlign w:val="center"/>
            <w:hideMark/>
          </w:tcPr>
          <w:p w:rsidR="008806B9" w:rsidRPr="008806B9" w:rsidRDefault="008806B9" w:rsidP="008806B9">
            <w:pPr>
              <w:widowControl/>
              <w:rPr>
                <w:rFonts w:ascii="Arial" w:hAnsi="Arial" w:cs="Arial"/>
                <w:color w:val="C00000"/>
                <w:kern w:val="0"/>
                <w:sz w:val="32"/>
                <w:szCs w:val="32"/>
              </w:rPr>
            </w:pP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112</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62</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87</w:t>
            </w:r>
          </w:p>
        </w:tc>
        <w:tc>
          <w:tcPr>
            <w:tcW w:w="2268" w:type="dxa"/>
            <w:vMerge/>
            <w:tcBorders>
              <w:top w:val="single" w:sz="24" w:space="0" w:color="C00000"/>
              <w:left w:val="single" w:sz="18" w:space="0" w:color="0000FF"/>
              <w:bottom w:val="single" w:sz="6" w:space="0" w:color="46AAC5"/>
              <w:right w:val="single" w:sz="6" w:space="0" w:color="46AAC5"/>
            </w:tcBorders>
            <w:vAlign w:val="center"/>
            <w:hideMark/>
          </w:tcPr>
          <w:p w:rsidR="008806B9" w:rsidRPr="008806B9" w:rsidRDefault="008806B9" w:rsidP="008806B9">
            <w:pPr>
              <w:widowControl/>
              <w:rPr>
                <w:rFonts w:ascii="Arial" w:hAnsi="Arial" w:cs="Arial"/>
                <w:color w:val="C00000"/>
                <w:kern w:val="0"/>
                <w:sz w:val="32"/>
                <w:szCs w:val="32"/>
              </w:rPr>
            </w:pP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113</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63</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88</w:t>
            </w:r>
          </w:p>
        </w:tc>
        <w:tc>
          <w:tcPr>
            <w:tcW w:w="2268" w:type="dxa"/>
            <w:vMerge/>
            <w:tcBorders>
              <w:top w:val="single" w:sz="24" w:space="0" w:color="C00000"/>
              <w:left w:val="single" w:sz="18" w:space="0" w:color="0000FF"/>
              <w:bottom w:val="single" w:sz="6" w:space="0" w:color="46AAC5"/>
              <w:right w:val="single" w:sz="6" w:space="0" w:color="46AAC5"/>
            </w:tcBorders>
            <w:vAlign w:val="center"/>
            <w:hideMark/>
          </w:tcPr>
          <w:p w:rsidR="008806B9" w:rsidRPr="008806B9" w:rsidRDefault="008806B9" w:rsidP="008806B9">
            <w:pPr>
              <w:widowControl/>
              <w:rPr>
                <w:rFonts w:ascii="Arial" w:hAnsi="Arial" w:cs="Arial"/>
                <w:color w:val="C00000"/>
                <w:kern w:val="0"/>
                <w:sz w:val="32"/>
                <w:szCs w:val="32"/>
              </w:rPr>
            </w:pP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114</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64</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89</w:t>
            </w:r>
          </w:p>
        </w:tc>
        <w:tc>
          <w:tcPr>
            <w:tcW w:w="2268" w:type="dxa"/>
            <w:vMerge/>
            <w:tcBorders>
              <w:top w:val="single" w:sz="24" w:space="0" w:color="C00000"/>
              <w:left w:val="single" w:sz="18" w:space="0" w:color="0000FF"/>
              <w:bottom w:val="single" w:sz="6" w:space="0" w:color="46AAC5"/>
              <w:right w:val="single" w:sz="6" w:space="0" w:color="46AAC5"/>
            </w:tcBorders>
            <w:vAlign w:val="center"/>
            <w:hideMark/>
          </w:tcPr>
          <w:p w:rsidR="008806B9" w:rsidRPr="008806B9" w:rsidRDefault="008806B9" w:rsidP="008806B9">
            <w:pPr>
              <w:widowControl/>
              <w:rPr>
                <w:rFonts w:ascii="Arial" w:hAnsi="Arial" w:cs="Arial"/>
                <w:color w:val="C00000"/>
                <w:kern w:val="0"/>
                <w:sz w:val="32"/>
                <w:szCs w:val="32"/>
              </w:rPr>
            </w:pP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115</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65</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90</w:t>
            </w:r>
          </w:p>
        </w:tc>
        <w:tc>
          <w:tcPr>
            <w:tcW w:w="2268" w:type="dxa"/>
            <w:vMerge w:val="restart"/>
            <w:tcBorders>
              <w:top w:val="single" w:sz="6" w:space="0" w:color="46AAC5"/>
              <w:left w:val="single" w:sz="18" w:space="0" w:color="0000FF"/>
              <w:bottom w:val="double" w:sz="12" w:space="0" w:color="4BACC6"/>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color w:val="C00000"/>
                <w:kern w:val="0"/>
                <w:sz w:val="32"/>
                <w:szCs w:val="32"/>
              </w:rPr>
            </w:pPr>
            <w:r w:rsidRPr="008806B9">
              <w:rPr>
                <w:rFonts w:ascii="Calibri" w:hAnsi="Calibri" w:cs="Arial"/>
                <w:b/>
                <w:bCs/>
                <w:color w:val="C00000"/>
                <w:sz w:val="32"/>
                <w:szCs w:val="32"/>
              </w:rPr>
              <w:t>60</w:t>
            </w: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116</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65</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91</w:t>
            </w:r>
          </w:p>
        </w:tc>
        <w:tc>
          <w:tcPr>
            <w:tcW w:w="2268" w:type="dxa"/>
            <w:vMerge/>
            <w:tcBorders>
              <w:top w:val="single" w:sz="6" w:space="0" w:color="46AAC5"/>
              <w:left w:val="single" w:sz="18" w:space="0" w:color="0000FF"/>
              <w:bottom w:val="double" w:sz="12" w:space="0" w:color="4BACC6"/>
              <w:right w:val="single" w:sz="6" w:space="0" w:color="46AAC5"/>
            </w:tcBorders>
            <w:vAlign w:val="center"/>
            <w:hideMark/>
          </w:tcPr>
          <w:p w:rsidR="008806B9" w:rsidRPr="008806B9" w:rsidRDefault="008806B9" w:rsidP="008806B9">
            <w:pPr>
              <w:widowControl/>
              <w:rPr>
                <w:rFonts w:ascii="Arial" w:hAnsi="Arial" w:cs="Arial"/>
                <w:kern w:val="0"/>
                <w:sz w:val="28"/>
                <w:szCs w:val="28"/>
              </w:rPr>
            </w:pP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117</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65</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92</w:t>
            </w:r>
          </w:p>
        </w:tc>
        <w:tc>
          <w:tcPr>
            <w:tcW w:w="2268" w:type="dxa"/>
            <w:vMerge/>
            <w:tcBorders>
              <w:top w:val="single" w:sz="6" w:space="0" w:color="46AAC5"/>
              <w:left w:val="single" w:sz="18" w:space="0" w:color="0000FF"/>
              <w:bottom w:val="double" w:sz="12" w:space="0" w:color="4BACC6"/>
              <w:right w:val="single" w:sz="6" w:space="0" w:color="46AAC5"/>
            </w:tcBorders>
            <w:vAlign w:val="center"/>
            <w:hideMark/>
          </w:tcPr>
          <w:p w:rsidR="008806B9" w:rsidRPr="008806B9" w:rsidRDefault="008806B9" w:rsidP="008806B9">
            <w:pPr>
              <w:widowControl/>
              <w:rPr>
                <w:rFonts w:ascii="Arial" w:hAnsi="Arial" w:cs="Arial"/>
                <w:kern w:val="0"/>
                <w:sz w:val="28"/>
                <w:szCs w:val="28"/>
              </w:rPr>
            </w:pPr>
          </w:p>
        </w:tc>
      </w:tr>
      <w:tr w:rsidR="008806B9" w:rsidRPr="008806B9" w:rsidTr="008806B9">
        <w:trPr>
          <w:trHeight w:val="528"/>
        </w:trPr>
        <w:tc>
          <w:tcPr>
            <w:tcW w:w="1526" w:type="dxa"/>
            <w:tcBorders>
              <w:top w:val="single" w:sz="6" w:space="0" w:color="46AAC5"/>
              <w:left w:val="single" w:sz="6" w:space="0" w:color="46AAC5"/>
              <w:bottom w:val="single" w:sz="6" w:space="0" w:color="46AAC5"/>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118</w:t>
            </w:r>
          </w:p>
        </w:tc>
        <w:tc>
          <w:tcPr>
            <w:tcW w:w="2977" w:type="dxa"/>
            <w:tcBorders>
              <w:top w:val="single" w:sz="6" w:space="0" w:color="46AAC5"/>
              <w:left w:val="single" w:sz="6" w:space="0" w:color="46AAC5"/>
              <w:bottom w:val="single" w:sz="6" w:space="0" w:color="46AAC5"/>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65</w:t>
            </w:r>
          </w:p>
        </w:tc>
        <w:tc>
          <w:tcPr>
            <w:tcW w:w="2409" w:type="dxa"/>
            <w:tcBorders>
              <w:top w:val="single" w:sz="6" w:space="0" w:color="46AAC5"/>
              <w:left w:val="single" w:sz="18" w:space="0" w:color="0000FF"/>
              <w:bottom w:val="single" w:sz="6" w:space="0" w:color="46AAC5"/>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93</w:t>
            </w:r>
          </w:p>
        </w:tc>
        <w:tc>
          <w:tcPr>
            <w:tcW w:w="2268" w:type="dxa"/>
            <w:vMerge/>
            <w:tcBorders>
              <w:top w:val="single" w:sz="6" w:space="0" w:color="46AAC5"/>
              <w:left w:val="single" w:sz="18" w:space="0" w:color="0000FF"/>
              <w:bottom w:val="double" w:sz="12" w:space="0" w:color="4BACC6"/>
              <w:right w:val="single" w:sz="6" w:space="0" w:color="46AAC5"/>
            </w:tcBorders>
            <w:vAlign w:val="center"/>
            <w:hideMark/>
          </w:tcPr>
          <w:p w:rsidR="008806B9" w:rsidRPr="008806B9" w:rsidRDefault="008806B9" w:rsidP="008806B9">
            <w:pPr>
              <w:widowControl/>
              <w:rPr>
                <w:rFonts w:ascii="Arial" w:hAnsi="Arial" w:cs="Arial"/>
                <w:kern w:val="0"/>
                <w:sz w:val="28"/>
                <w:szCs w:val="28"/>
              </w:rPr>
            </w:pPr>
          </w:p>
        </w:tc>
      </w:tr>
      <w:tr w:rsidR="008806B9" w:rsidRPr="008806B9" w:rsidTr="008806B9">
        <w:trPr>
          <w:trHeight w:val="528"/>
        </w:trPr>
        <w:tc>
          <w:tcPr>
            <w:tcW w:w="1526" w:type="dxa"/>
            <w:tcBorders>
              <w:top w:val="single" w:sz="6" w:space="0" w:color="46AAC5"/>
              <w:left w:val="single" w:sz="6" w:space="0" w:color="46AAC5"/>
              <w:bottom w:val="double" w:sz="12" w:space="0" w:color="4BACC6"/>
              <w:right w:val="single" w:sz="6" w:space="0" w:color="46AAC5"/>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119</w:t>
            </w:r>
          </w:p>
        </w:tc>
        <w:tc>
          <w:tcPr>
            <w:tcW w:w="2977" w:type="dxa"/>
            <w:tcBorders>
              <w:top w:val="single" w:sz="6" w:space="0" w:color="46AAC5"/>
              <w:left w:val="single" w:sz="6" w:space="0" w:color="46AAC5"/>
              <w:bottom w:val="double" w:sz="12" w:space="0" w:color="4BACC6"/>
              <w:right w:val="single" w:sz="18" w:space="0" w:color="0000FF"/>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65</w:t>
            </w:r>
          </w:p>
        </w:tc>
        <w:tc>
          <w:tcPr>
            <w:tcW w:w="2409" w:type="dxa"/>
            <w:tcBorders>
              <w:top w:val="single" w:sz="6" w:space="0" w:color="46AAC5"/>
              <w:left w:val="single" w:sz="18" w:space="0" w:color="0000FF"/>
              <w:bottom w:val="single" w:sz="18" w:space="0" w:color="0000FF"/>
              <w:right w:val="single" w:sz="18" w:space="0" w:color="0000FF"/>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color w:val="000000"/>
                <w:kern w:val="0"/>
                <w:sz w:val="28"/>
                <w:szCs w:val="28"/>
              </w:rPr>
              <w:t>94</w:t>
            </w:r>
          </w:p>
        </w:tc>
        <w:tc>
          <w:tcPr>
            <w:tcW w:w="2268" w:type="dxa"/>
            <w:vMerge/>
            <w:tcBorders>
              <w:top w:val="single" w:sz="6" w:space="0" w:color="46AAC5"/>
              <w:left w:val="single" w:sz="18" w:space="0" w:color="0000FF"/>
              <w:bottom w:val="double" w:sz="12" w:space="0" w:color="4BACC6"/>
              <w:right w:val="single" w:sz="6" w:space="0" w:color="46AAC5"/>
            </w:tcBorders>
            <w:vAlign w:val="center"/>
            <w:hideMark/>
          </w:tcPr>
          <w:p w:rsidR="008806B9" w:rsidRPr="008806B9" w:rsidRDefault="008806B9" w:rsidP="008806B9">
            <w:pPr>
              <w:widowControl/>
              <w:rPr>
                <w:rFonts w:ascii="Arial" w:hAnsi="Arial" w:cs="Arial"/>
                <w:kern w:val="0"/>
                <w:sz w:val="28"/>
                <w:szCs w:val="28"/>
              </w:rPr>
            </w:pPr>
          </w:p>
        </w:tc>
      </w:tr>
      <w:tr w:rsidR="008806B9" w:rsidRPr="008806B9" w:rsidTr="008806B9">
        <w:trPr>
          <w:trHeight w:val="528"/>
        </w:trPr>
        <w:tc>
          <w:tcPr>
            <w:tcW w:w="1526" w:type="dxa"/>
            <w:tcBorders>
              <w:top w:val="double" w:sz="12" w:space="0" w:color="4BACC6"/>
              <w:left w:val="single" w:sz="6" w:space="0" w:color="46AAC5"/>
              <w:bottom w:val="single" w:sz="6" w:space="0" w:color="46AAC5"/>
              <w:right w:val="nil"/>
            </w:tcBorders>
            <w:shd w:val="clear" w:color="auto" w:fill="auto"/>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120</w:t>
            </w:r>
          </w:p>
          <w:p w:rsidR="008806B9" w:rsidRPr="008806B9" w:rsidRDefault="008806B9" w:rsidP="008806B9">
            <w:pPr>
              <w:widowControl/>
              <w:jc w:val="center"/>
              <w:rPr>
                <w:rFonts w:ascii="Arial" w:hAnsi="Arial" w:cs="Arial"/>
                <w:kern w:val="0"/>
                <w:sz w:val="28"/>
                <w:szCs w:val="28"/>
              </w:rPr>
            </w:pPr>
            <w:r w:rsidRPr="008806B9">
              <w:rPr>
                <w:rFonts w:ascii="Calibri" w:hAnsi="Arial" w:cs="Arial"/>
                <w:b/>
                <w:bCs/>
                <w:color w:val="000000"/>
                <w:kern w:val="0"/>
                <w:sz w:val="28"/>
                <w:szCs w:val="28"/>
              </w:rPr>
              <w:t>以後</w:t>
            </w:r>
          </w:p>
        </w:tc>
        <w:tc>
          <w:tcPr>
            <w:tcW w:w="7654" w:type="dxa"/>
            <w:gridSpan w:val="3"/>
            <w:tcBorders>
              <w:top w:val="double" w:sz="12" w:space="0" w:color="4BACC6"/>
              <w:left w:val="nil"/>
              <w:bottom w:val="single" w:sz="6" w:space="0" w:color="46AAC5"/>
              <w:right w:val="single" w:sz="6" w:space="0" w:color="46AAC5"/>
            </w:tcBorders>
            <w:shd w:val="clear" w:color="auto" w:fill="FFFF00"/>
            <w:tcMar>
              <w:top w:w="15" w:type="dxa"/>
              <w:left w:w="108" w:type="dxa"/>
              <w:bottom w:w="0" w:type="dxa"/>
              <w:right w:w="108" w:type="dxa"/>
            </w:tcMar>
            <w:vAlign w:val="center"/>
            <w:hideMark/>
          </w:tcPr>
          <w:p w:rsidR="008806B9" w:rsidRPr="008806B9" w:rsidRDefault="008806B9" w:rsidP="008806B9">
            <w:pPr>
              <w:widowControl/>
              <w:jc w:val="center"/>
              <w:rPr>
                <w:rFonts w:ascii="Arial" w:hAnsi="Arial" w:cs="Arial"/>
                <w:kern w:val="0"/>
                <w:sz w:val="28"/>
                <w:szCs w:val="28"/>
              </w:rPr>
            </w:pPr>
            <w:r w:rsidRPr="008806B9">
              <w:rPr>
                <w:rFonts w:ascii="Calibri" w:hAnsi="Calibri" w:cs="Arial"/>
                <w:b/>
                <w:bCs/>
                <w:color w:val="000000"/>
                <w:kern w:val="0"/>
                <w:sz w:val="28"/>
                <w:szCs w:val="28"/>
              </w:rPr>
              <w:t>65</w:t>
            </w:r>
          </w:p>
        </w:tc>
      </w:tr>
    </w:tbl>
    <w:p w:rsidR="00B00BA6" w:rsidRDefault="00B00BA6" w:rsidP="00A520D9"/>
    <w:p w:rsidR="00B00BA6" w:rsidRDefault="00B00BA6">
      <w:pPr>
        <w:widowControl/>
      </w:pPr>
      <w:r>
        <w:br w:type="page"/>
      </w:r>
    </w:p>
    <w:p w:rsidR="006E1B8D" w:rsidRDefault="006E1B8D" w:rsidP="006E1B8D">
      <w:pPr>
        <w:widowControl/>
        <w:rPr>
          <w:rFonts w:ascii="標楷體" w:eastAsia="標楷體" w:hAnsi="標楷體" w:hint="eastAsia"/>
          <w:sz w:val="32"/>
          <w:szCs w:val="32"/>
          <w:shd w:val="pct15" w:color="auto" w:fill="FFFFFF"/>
        </w:rPr>
      </w:pPr>
      <w:r>
        <w:rPr>
          <w:rFonts w:ascii="標楷體" w:eastAsia="標楷體" w:hAnsi="標楷體" w:hint="eastAsia"/>
          <w:sz w:val="32"/>
          <w:szCs w:val="32"/>
          <w:shd w:val="pct15" w:color="auto" w:fill="FFFFFF"/>
        </w:rPr>
        <w:lastRenderedPageBreak/>
        <w:t>三</w:t>
      </w:r>
      <w:r w:rsidRPr="00671062">
        <w:rPr>
          <w:rFonts w:ascii="標楷體" w:eastAsia="標楷體" w:hAnsi="標楷體" w:hint="eastAsia"/>
          <w:sz w:val="32"/>
          <w:szCs w:val="32"/>
          <w:shd w:val="pct15" w:color="auto" w:fill="FFFFFF"/>
        </w:rPr>
        <w:t>、</w:t>
      </w:r>
      <w:r>
        <w:rPr>
          <w:rFonts w:ascii="標楷體" w:eastAsia="標楷體" w:hAnsi="標楷體" w:hint="eastAsia"/>
          <w:sz w:val="32"/>
          <w:szCs w:val="32"/>
          <w:shd w:val="pct15" w:color="auto" w:fill="FFFFFF"/>
        </w:rPr>
        <w:t>優存及替代率調降方案</w:t>
      </w:r>
    </w:p>
    <w:p w:rsidR="006E1B8D" w:rsidRDefault="006E1B8D" w:rsidP="007D0EAB">
      <w:pPr>
        <w:pStyle w:val="a7"/>
        <w:spacing w:line="480" w:lineRule="exact"/>
        <w:ind w:left="1200" w:hanging="1200"/>
        <w:rPr>
          <w:rFonts w:hint="eastAsia"/>
        </w:rPr>
      </w:pPr>
      <w:r>
        <w:rPr>
          <w:rFonts w:hint="eastAsia"/>
        </w:rPr>
        <w:t>第三十六條　　退休公務人員支領月退休金者，其公保一次養老給付之優惠存款利率（以下簡稱優存利率），依下列規定辦理：</w:t>
      </w:r>
    </w:p>
    <w:p w:rsidR="006E1B8D" w:rsidRDefault="006E1B8D" w:rsidP="007D0EAB">
      <w:pPr>
        <w:pStyle w:val="a6"/>
        <w:spacing w:line="480" w:lineRule="exact"/>
        <w:ind w:left="2160" w:hanging="240"/>
        <w:rPr>
          <w:rFonts w:hint="eastAsia"/>
        </w:rPr>
      </w:pPr>
      <w:r>
        <w:rPr>
          <w:rFonts w:hint="eastAsia"/>
        </w:rPr>
        <w:t>一、自中華民國一百零七年七月一日至一百零九年十二月三十一日止，年息百分之九。</w:t>
      </w:r>
    </w:p>
    <w:p w:rsidR="006E1B8D" w:rsidRDefault="006E1B8D" w:rsidP="007D0EAB">
      <w:pPr>
        <w:pStyle w:val="a6"/>
        <w:spacing w:line="480" w:lineRule="exact"/>
        <w:ind w:left="2160" w:hanging="240"/>
        <w:rPr>
          <w:rFonts w:hint="eastAsia"/>
        </w:rPr>
      </w:pPr>
      <w:r>
        <w:rPr>
          <w:rFonts w:hint="eastAsia"/>
        </w:rPr>
        <w:t>二、自中華民國一百十年一月一日起，年息為零。</w:t>
      </w:r>
    </w:p>
    <w:p w:rsidR="006E1B8D" w:rsidRDefault="006E1B8D" w:rsidP="007D0EAB">
      <w:pPr>
        <w:pStyle w:val="a8"/>
        <w:spacing w:line="480" w:lineRule="exact"/>
        <w:ind w:left="1380" w:firstLine="480"/>
        <w:rPr>
          <w:rFonts w:hint="eastAsia"/>
        </w:rPr>
      </w:pPr>
      <w:r>
        <w:rPr>
          <w:rFonts w:hint="eastAsia"/>
        </w:rPr>
        <w:t>前項人員除支領</w:t>
      </w:r>
      <w:proofErr w:type="gramStart"/>
      <w:r>
        <w:rPr>
          <w:rFonts w:hint="eastAsia"/>
        </w:rPr>
        <w:t>減額月退休金</w:t>
      </w:r>
      <w:proofErr w:type="gramEnd"/>
      <w:r>
        <w:rPr>
          <w:rFonts w:hint="eastAsia"/>
        </w:rPr>
        <w:t>者外，其公保一次養老給付之優存利息，依前項規定計算後，致每月退休所得低於第三十七條及附表三所定最末年替代率上限金額時，按該金額中，屬於公保一次養老給付優存利息部分，照年息百分之十八計算其公保一次養老給付可辦理優惠儲存之金額。但依本法公布施行前規定計算之每月退休所得（以下簡稱原金額）原即低於第三十七條及附表三所定最末年替代率上限金額者，依原儲存之金額及年息百分之十八辦理優惠存款。</w:t>
      </w:r>
    </w:p>
    <w:p w:rsidR="006E1B8D" w:rsidRDefault="006E1B8D" w:rsidP="007D0EAB">
      <w:pPr>
        <w:pStyle w:val="a8"/>
        <w:spacing w:line="480" w:lineRule="exact"/>
        <w:ind w:left="1380" w:firstLine="480"/>
        <w:rPr>
          <w:rFonts w:hint="eastAsia"/>
        </w:rPr>
      </w:pPr>
      <w:r>
        <w:rPr>
          <w:rFonts w:hint="eastAsia"/>
        </w:rPr>
        <w:t>依前二項、第三十七條至第三十九條規定計算後之每月退休所得低於或等於最低保障金額者，應按最低保障金額中，屬於公保一次養老給付優存利息部分，照年息百分之十八計算其公保一次養老給付可辦理優惠儲存之金額。但原金額原即低於最低保障金額者，依原儲存之金額及年息百分之十八辦理優惠存款。</w:t>
      </w:r>
    </w:p>
    <w:p w:rsidR="006E1B8D" w:rsidRDefault="006E1B8D" w:rsidP="007D0EAB">
      <w:pPr>
        <w:pStyle w:val="a8"/>
        <w:spacing w:line="480" w:lineRule="exact"/>
        <w:ind w:left="1380" w:firstLine="480"/>
        <w:rPr>
          <w:rFonts w:hint="eastAsia"/>
        </w:rPr>
      </w:pPr>
      <w:r>
        <w:rPr>
          <w:rFonts w:hint="eastAsia"/>
        </w:rPr>
        <w:t>退休公務人員支領一次退休金者，其一次退休金與公保一次養老給付之優存利率，依下列規定辦理：</w:t>
      </w:r>
    </w:p>
    <w:p w:rsidR="006E1B8D" w:rsidRDefault="006E1B8D" w:rsidP="007D0EAB">
      <w:pPr>
        <w:pStyle w:val="a6"/>
        <w:spacing w:line="480" w:lineRule="exact"/>
        <w:ind w:left="2160" w:hanging="240"/>
        <w:rPr>
          <w:rFonts w:hint="eastAsia"/>
        </w:rPr>
      </w:pPr>
      <w:r>
        <w:rPr>
          <w:rFonts w:hint="eastAsia"/>
        </w:rPr>
        <w:t>一、一次退休金與公保一次養老給付合計之每月優存利息高於最低保障金額者：</w:t>
      </w:r>
    </w:p>
    <w:p w:rsidR="006E1B8D" w:rsidRDefault="006E1B8D" w:rsidP="007D0EAB">
      <w:pPr>
        <w:pStyle w:val="af"/>
        <w:spacing w:line="480" w:lineRule="exact"/>
        <w:ind w:leftChars="900" w:left="2640" w:hangingChars="200" w:hanging="480"/>
        <w:rPr>
          <w:rFonts w:hint="eastAsia"/>
        </w:rPr>
      </w:pPr>
      <w:r w:rsidRPr="00052542">
        <w:rPr>
          <w:rFonts w:ascii="華康細明體" w:hint="eastAsia"/>
        </w:rPr>
        <w:t>(</w:t>
      </w:r>
      <w:proofErr w:type="gramStart"/>
      <w:r w:rsidRPr="00052542">
        <w:rPr>
          <w:rFonts w:ascii="華康細明體" w:hint="eastAsia"/>
        </w:rPr>
        <w:t>一</w:t>
      </w:r>
      <w:proofErr w:type="gramEnd"/>
      <w:r w:rsidRPr="00052542">
        <w:rPr>
          <w:rFonts w:ascii="華康細明體" w:hint="eastAsia"/>
        </w:rPr>
        <w:t>)</w:t>
      </w:r>
      <w:r>
        <w:rPr>
          <w:rFonts w:hint="eastAsia"/>
        </w:rPr>
        <w:t>最低保障金額之優存利息相應之本金，以年息百分之十八計息。</w:t>
      </w:r>
    </w:p>
    <w:p w:rsidR="006E1B8D" w:rsidRDefault="006E1B8D" w:rsidP="007D0EAB">
      <w:pPr>
        <w:pStyle w:val="af"/>
        <w:spacing w:line="480" w:lineRule="exact"/>
        <w:ind w:leftChars="900" w:left="2640" w:hangingChars="200" w:hanging="480"/>
        <w:rPr>
          <w:rFonts w:hint="eastAsia"/>
        </w:rPr>
      </w:pPr>
      <w:r w:rsidRPr="00052542">
        <w:rPr>
          <w:rFonts w:ascii="華康細明體" w:hint="eastAsia"/>
        </w:rPr>
        <w:t>(二)</w:t>
      </w:r>
      <w:r>
        <w:rPr>
          <w:rFonts w:hint="eastAsia"/>
        </w:rPr>
        <w:t>超出最低保障金額之優存利息相應之本金，其優存利率依下列規定辦理：</w:t>
      </w:r>
    </w:p>
    <w:p w:rsidR="006E1B8D" w:rsidRDefault="006E1B8D" w:rsidP="007D0EAB">
      <w:pPr>
        <w:pStyle w:val="af0"/>
        <w:spacing w:line="480" w:lineRule="exact"/>
        <w:ind w:leftChars="1125" w:left="2940" w:hanging="240"/>
        <w:rPr>
          <w:rFonts w:hint="eastAsia"/>
        </w:rPr>
      </w:pPr>
      <w:r>
        <w:t>1</w:t>
      </w:r>
      <w:r w:rsidRPr="00052542">
        <w:rPr>
          <w:rFonts w:ascii="華康細明體"/>
        </w:rPr>
        <w:t>.</w:t>
      </w:r>
      <w:r>
        <w:rPr>
          <w:rFonts w:hint="eastAsia"/>
        </w:rPr>
        <w:t>自中華民國一百零七年七月一日至一百零九年十二月三十一日止，年息百分之十二。</w:t>
      </w:r>
    </w:p>
    <w:p w:rsidR="006E1B8D" w:rsidRDefault="006E1B8D" w:rsidP="007D0EAB">
      <w:pPr>
        <w:pStyle w:val="af0"/>
        <w:spacing w:line="480" w:lineRule="exact"/>
        <w:ind w:leftChars="1125" w:left="2940" w:hanging="240"/>
        <w:rPr>
          <w:rFonts w:hint="eastAsia"/>
        </w:rPr>
      </w:pPr>
      <w:r>
        <w:t>2</w:t>
      </w:r>
      <w:r w:rsidRPr="00052542">
        <w:rPr>
          <w:rFonts w:ascii="華康細明體"/>
        </w:rPr>
        <w:t>.</w:t>
      </w:r>
      <w:r>
        <w:rPr>
          <w:rFonts w:hint="eastAsia"/>
        </w:rPr>
        <w:t>自中華民國一百十年一月一日至一百十</w:t>
      </w:r>
      <w:proofErr w:type="gramStart"/>
      <w:r>
        <w:rPr>
          <w:rFonts w:hint="eastAsia"/>
        </w:rPr>
        <w:t>—</w:t>
      </w:r>
      <w:proofErr w:type="gramEnd"/>
      <w:r>
        <w:rPr>
          <w:rFonts w:hint="eastAsia"/>
        </w:rPr>
        <w:t>年十二月三十一</w:t>
      </w:r>
      <w:r>
        <w:rPr>
          <w:rFonts w:hint="eastAsia"/>
        </w:rPr>
        <w:lastRenderedPageBreak/>
        <w:t>日止，年息百分之十。</w:t>
      </w:r>
    </w:p>
    <w:p w:rsidR="006E1B8D" w:rsidRDefault="006E1B8D" w:rsidP="007D0EAB">
      <w:pPr>
        <w:pStyle w:val="af0"/>
        <w:spacing w:line="480" w:lineRule="exact"/>
        <w:ind w:leftChars="1125" w:left="2940" w:hanging="240"/>
        <w:rPr>
          <w:rFonts w:hint="eastAsia"/>
        </w:rPr>
      </w:pPr>
      <w:r>
        <w:t>3</w:t>
      </w:r>
      <w:r w:rsidRPr="00052542">
        <w:rPr>
          <w:rFonts w:ascii="華康細明體"/>
        </w:rPr>
        <w:t>.</w:t>
      </w:r>
      <w:r>
        <w:rPr>
          <w:rFonts w:hint="eastAsia"/>
        </w:rPr>
        <w:t>自中華民國一百十二年一月一日至一百十三年十二月三十一日止，年息百分之八</w:t>
      </w:r>
    </w:p>
    <w:p w:rsidR="006E1B8D" w:rsidRDefault="006E1B8D" w:rsidP="007D0EAB">
      <w:pPr>
        <w:pStyle w:val="af0"/>
        <w:spacing w:line="480" w:lineRule="exact"/>
        <w:ind w:leftChars="1125" w:left="2940" w:hanging="240"/>
        <w:rPr>
          <w:rFonts w:hint="eastAsia"/>
        </w:rPr>
      </w:pPr>
      <w:r>
        <w:t>4</w:t>
      </w:r>
      <w:r w:rsidRPr="00052542">
        <w:rPr>
          <w:rFonts w:ascii="華康細明體"/>
        </w:rPr>
        <w:t>.</w:t>
      </w:r>
      <w:r>
        <w:rPr>
          <w:rFonts w:hint="eastAsia"/>
        </w:rPr>
        <w:t>自中華民國一百十四年一月一日起，年息百分之六。</w:t>
      </w:r>
    </w:p>
    <w:p w:rsidR="006E1B8D" w:rsidRDefault="006E1B8D" w:rsidP="007D0EAB">
      <w:pPr>
        <w:pStyle w:val="a6"/>
        <w:spacing w:line="480" w:lineRule="exact"/>
        <w:ind w:left="2160" w:hanging="240"/>
        <w:rPr>
          <w:rFonts w:hint="eastAsia"/>
        </w:rPr>
      </w:pPr>
      <w:r>
        <w:rPr>
          <w:rFonts w:hint="eastAsia"/>
        </w:rPr>
        <w:t>二、一次退休金與公保一次養老給付合計之每月優存利息低於或等於最低保障金額者，其優存本金以年息百分之十八計息。</w:t>
      </w:r>
    </w:p>
    <w:p w:rsidR="006E1B8D" w:rsidRDefault="006E1B8D" w:rsidP="007D0EAB">
      <w:pPr>
        <w:pStyle w:val="a8"/>
        <w:spacing w:line="480" w:lineRule="exact"/>
        <w:ind w:left="1380" w:firstLine="480"/>
        <w:rPr>
          <w:rFonts w:hint="eastAsia"/>
        </w:rPr>
      </w:pPr>
      <w:r>
        <w:rPr>
          <w:rFonts w:hint="eastAsia"/>
        </w:rPr>
        <w:t>退休公務人員兼領月退休金者，依下列規定辦理：</w:t>
      </w:r>
    </w:p>
    <w:p w:rsidR="006E1B8D" w:rsidRDefault="006E1B8D" w:rsidP="007D0EAB">
      <w:pPr>
        <w:pStyle w:val="a6"/>
        <w:spacing w:line="480" w:lineRule="exact"/>
        <w:ind w:left="2160" w:hanging="240"/>
        <w:rPr>
          <w:rFonts w:hint="eastAsia"/>
        </w:rPr>
      </w:pPr>
      <w:r>
        <w:rPr>
          <w:rFonts w:hint="eastAsia"/>
        </w:rPr>
        <w:t>一、</w:t>
      </w:r>
      <w:proofErr w:type="gramStart"/>
      <w:r>
        <w:rPr>
          <w:rFonts w:hint="eastAsia"/>
        </w:rPr>
        <w:t>按兼領</w:t>
      </w:r>
      <w:proofErr w:type="gramEnd"/>
      <w:r>
        <w:rPr>
          <w:rFonts w:hint="eastAsia"/>
        </w:rPr>
        <w:t>月退休金比率計得之公保一次養老給付優存金額，依第一項至第三項規定辦理。但最低保障金額及第二項所定最末年替代率上限金額應</w:t>
      </w:r>
      <w:proofErr w:type="gramStart"/>
      <w:r>
        <w:rPr>
          <w:rFonts w:hint="eastAsia"/>
        </w:rPr>
        <w:t>按其兼領</w:t>
      </w:r>
      <w:proofErr w:type="gramEnd"/>
      <w:r>
        <w:rPr>
          <w:rFonts w:hint="eastAsia"/>
        </w:rPr>
        <w:t>月退休金之比率計算。</w:t>
      </w:r>
    </w:p>
    <w:p w:rsidR="006E1B8D" w:rsidRDefault="006E1B8D" w:rsidP="007D0EAB">
      <w:pPr>
        <w:pStyle w:val="a6"/>
        <w:spacing w:line="480" w:lineRule="exact"/>
        <w:ind w:left="2160" w:hanging="240"/>
        <w:rPr>
          <w:rFonts w:hint="eastAsia"/>
        </w:rPr>
      </w:pPr>
      <w:r>
        <w:rPr>
          <w:rFonts w:hint="eastAsia"/>
        </w:rPr>
        <w:t>二、兼領之一次退休金得辦理優惠存款金額，加</w:t>
      </w:r>
      <w:proofErr w:type="gramStart"/>
      <w:r>
        <w:rPr>
          <w:rFonts w:hint="eastAsia"/>
        </w:rPr>
        <w:t>計按兼</w:t>
      </w:r>
      <w:proofErr w:type="gramEnd"/>
      <w:r>
        <w:rPr>
          <w:rFonts w:hint="eastAsia"/>
        </w:rPr>
        <w:t>領一次退休金比率計得之公保一次養老給付優存金額，依前項規定辦理。但最低保障金額應</w:t>
      </w:r>
      <w:proofErr w:type="gramStart"/>
      <w:r>
        <w:rPr>
          <w:rFonts w:hint="eastAsia"/>
        </w:rPr>
        <w:t>按其兼領</w:t>
      </w:r>
      <w:proofErr w:type="gramEnd"/>
      <w:r>
        <w:rPr>
          <w:rFonts w:hint="eastAsia"/>
        </w:rPr>
        <w:t>一次退休金之比率計算。</w:t>
      </w:r>
    </w:p>
    <w:p w:rsidR="006E1B8D" w:rsidRDefault="006E1B8D" w:rsidP="007D0EAB">
      <w:pPr>
        <w:pStyle w:val="a7"/>
        <w:spacing w:line="480" w:lineRule="exact"/>
        <w:ind w:left="1200" w:hanging="1200"/>
        <w:rPr>
          <w:rFonts w:hint="eastAsia"/>
        </w:rPr>
      </w:pPr>
      <w:r>
        <w:rPr>
          <w:rFonts w:hint="eastAsia"/>
        </w:rPr>
        <w:t>第三十七條　　本法公布施行前退休生效者之每月退休所得，於本法公布施行後，不得超過依替代率上限計算之金額。</w:t>
      </w:r>
    </w:p>
    <w:p w:rsidR="006E1B8D" w:rsidRDefault="006E1B8D" w:rsidP="007D0EAB">
      <w:pPr>
        <w:pStyle w:val="a8"/>
        <w:spacing w:line="480" w:lineRule="exact"/>
        <w:ind w:left="1380" w:firstLine="480"/>
        <w:rPr>
          <w:rFonts w:hint="eastAsia"/>
        </w:rPr>
      </w:pPr>
      <w:r>
        <w:rPr>
          <w:rFonts w:hint="eastAsia"/>
        </w:rPr>
        <w:t>前項替代率應依退休人員審定之退休年資，照附表三所定替代率計算，任職滿十五年者，替代率為百分之四十五，其後每增加一年，替代率增給百分之一點五，最高增至三十五年，為百分之七十五。未滿一年之</w:t>
      </w:r>
      <w:proofErr w:type="gramStart"/>
      <w:r>
        <w:rPr>
          <w:rFonts w:hint="eastAsia"/>
        </w:rPr>
        <w:t>畸</w:t>
      </w:r>
      <w:proofErr w:type="gramEnd"/>
      <w:r>
        <w:rPr>
          <w:rFonts w:hint="eastAsia"/>
        </w:rPr>
        <w:t>零年資，按比率計算；未滿一個月者，以一個月計。</w:t>
      </w:r>
    </w:p>
    <w:p w:rsidR="006E1B8D" w:rsidRDefault="006E1B8D" w:rsidP="007D0EAB">
      <w:pPr>
        <w:pStyle w:val="a8"/>
        <w:spacing w:line="480" w:lineRule="exact"/>
        <w:ind w:left="1380" w:firstLine="480"/>
        <w:rPr>
          <w:rFonts w:hint="eastAsia"/>
        </w:rPr>
      </w:pPr>
      <w:r>
        <w:rPr>
          <w:rFonts w:hint="eastAsia"/>
        </w:rPr>
        <w:t>前項替代率之上限，依退休人員審定之退休年資，照附表三所列各年度替代率認定。</w:t>
      </w:r>
    </w:p>
    <w:p w:rsidR="006E1B8D" w:rsidRDefault="006E1B8D" w:rsidP="007D0EAB">
      <w:pPr>
        <w:pStyle w:val="a8"/>
        <w:spacing w:line="480" w:lineRule="exact"/>
        <w:ind w:left="1380" w:firstLine="480"/>
        <w:rPr>
          <w:rFonts w:hint="eastAsia"/>
        </w:rPr>
      </w:pPr>
      <w:r>
        <w:rPr>
          <w:rFonts w:hint="eastAsia"/>
        </w:rPr>
        <w:t>前三項所定替代率，於選擇兼領月退休金者，各</w:t>
      </w:r>
      <w:proofErr w:type="gramStart"/>
      <w:r>
        <w:rPr>
          <w:rFonts w:hint="eastAsia"/>
        </w:rPr>
        <w:t>依其兼領</w:t>
      </w:r>
      <w:proofErr w:type="gramEnd"/>
      <w:r>
        <w:rPr>
          <w:rFonts w:hint="eastAsia"/>
        </w:rPr>
        <w:t>一次退休金與兼領月退休金比率計算。</w:t>
      </w:r>
    </w:p>
    <w:p w:rsidR="006E1B8D" w:rsidRDefault="006E1B8D" w:rsidP="007D0EAB">
      <w:pPr>
        <w:pStyle w:val="a8"/>
        <w:spacing w:line="480" w:lineRule="exact"/>
        <w:ind w:left="1380" w:firstLine="480"/>
        <w:rPr>
          <w:rFonts w:hint="eastAsia"/>
        </w:rPr>
      </w:pPr>
      <w:r>
        <w:rPr>
          <w:rFonts w:hint="eastAsia"/>
        </w:rPr>
        <w:t>本法公布施行前退休生效者，應按本法公布施行時之待遇標準，依前四項規定重新計算每月退休所得；經審定後，不再隨在職同等級人員本（年功）</w:t>
      </w:r>
      <w:proofErr w:type="gramStart"/>
      <w:r>
        <w:rPr>
          <w:rFonts w:hint="eastAsia"/>
        </w:rPr>
        <w:t>俸</w:t>
      </w:r>
      <w:proofErr w:type="gramEnd"/>
      <w:r>
        <w:rPr>
          <w:rFonts w:hint="eastAsia"/>
        </w:rPr>
        <w:t>之調整重新計算。</w:t>
      </w:r>
    </w:p>
    <w:p w:rsidR="006E1B8D" w:rsidRDefault="006E1B8D" w:rsidP="007D0EAB">
      <w:pPr>
        <w:pStyle w:val="a7"/>
        <w:spacing w:line="480" w:lineRule="exact"/>
        <w:ind w:left="1200" w:hanging="1200"/>
        <w:rPr>
          <w:rFonts w:hint="eastAsia"/>
        </w:rPr>
      </w:pPr>
      <w:r>
        <w:rPr>
          <w:rFonts w:hint="eastAsia"/>
        </w:rPr>
        <w:t>第三十八條　　本法公布施行後退休生效者之每月退休所得，不得超過依替代率上限計算之金額。</w:t>
      </w:r>
    </w:p>
    <w:p w:rsidR="006E1B8D" w:rsidRDefault="006E1B8D" w:rsidP="007D0EAB">
      <w:pPr>
        <w:pStyle w:val="a8"/>
        <w:spacing w:line="480" w:lineRule="exact"/>
        <w:ind w:left="1380" w:firstLine="480"/>
        <w:rPr>
          <w:rFonts w:hint="eastAsia"/>
        </w:rPr>
      </w:pPr>
      <w:r>
        <w:rPr>
          <w:rFonts w:hint="eastAsia"/>
        </w:rPr>
        <w:t>前項替代率應依退休人員審定之退休年資，照附表三所定替代率計算</w:t>
      </w:r>
      <w:r>
        <w:rPr>
          <w:rFonts w:hint="eastAsia"/>
        </w:rPr>
        <w:lastRenderedPageBreak/>
        <w:t>；任職滿十五年至第三十五年者，照前條第二項規定辦理；超過第三十五年者，每增加一年，增給百分之零點五，最高增至四十年止。未滿一年之</w:t>
      </w:r>
      <w:proofErr w:type="gramStart"/>
      <w:r>
        <w:rPr>
          <w:rFonts w:hint="eastAsia"/>
        </w:rPr>
        <w:t>畸</w:t>
      </w:r>
      <w:proofErr w:type="gramEnd"/>
      <w:r>
        <w:rPr>
          <w:rFonts w:hint="eastAsia"/>
        </w:rPr>
        <w:t>零年資，按比率計算；未滿一個月者，以一個月計。</w:t>
      </w:r>
    </w:p>
    <w:p w:rsidR="006E1B8D" w:rsidRDefault="006E1B8D" w:rsidP="007D0EAB">
      <w:pPr>
        <w:pStyle w:val="a8"/>
        <w:spacing w:line="480" w:lineRule="exact"/>
        <w:ind w:left="1380" w:firstLine="480"/>
        <w:rPr>
          <w:rFonts w:hint="eastAsia"/>
        </w:rPr>
      </w:pPr>
      <w:r>
        <w:rPr>
          <w:rFonts w:hint="eastAsia"/>
        </w:rPr>
        <w:t>前項替代率之上限，依退休人員審定之退休年資，照附表三所列各年度替代率認定。</w:t>
      </w:r>
    </w:p>
    <w:p w:rsidR="006E1B8D" w:rsidRDefault="006E1B8D" w:rsidP="007D0EAB">
      <w:pPr>
        <w:pStyle w:val="a8"/>
        <w:spacing w:line="480" w:lineRule="exact"/>
        <w:ind w:left="1380" w:firstLine="480"/>
        <w:rPr>
          <w:rFonts w:hint="eastAsia"/>
        </w:rPr>
      </w:pPr>
      <w:r>
        <w:rPr>
          <w:rFonts w:hint="eastAsia"/>
        </w:rPr>
        <w:t>前三項所定替代率，於選擇兼領月退休金者，各</w:t>
      </w:r>
      <w:proofErr w:type="gramStart"/>
      <w:r>
        <w:rPr>
          <w:rFonts w:hint="eastAsia"/>
        </w:rPr>
        <w:t>依其兼領</w:t>
      </w:r>
      <w:proofErr w:type="gramEnd"/>
      <w:r>
        <w:rPr>
          <w:rFonts w:hint="eastAsia"/>
        </w:rPr>
        <w:t>一次退休金與兼領月退休金比率計算。</w:t>
      </w:r>
    </w:p>
    <w:p w:rsidR="006E1B8D" w:rsidRDefault="006E1B8D" w:rsidP="007D0EAB">
      <w:pPr>
        <w:pStyle w:val="a8"/>
        <w:spacing w:line="480" w:lineRule="exact"/>
        <w:ind w:left="1380" w:firstLine="480"/>
        <w:rPr>
          <w:rFonts w:hint="eastAsia"/>
        </w:rPr>
      </w:pPr>
      <w:r>
        <w:rPr>
          <w:rFonts w:hint="eastAsia"/>
        </w:rPr>
        <w:t>本法公布施行後退休生效者，應按退休生效時之待遇標準，依前四項規定計算每月退休所得；經審定後，不再隨在職同等級人員本（年功）</w:t>
      </w:r>
      <w:proofErr w:type="gramStart"/>
      <w:r>
        <w:rPr>
          <w:rFonts w:hint="eastAsia"/>
        </w:rPr>
        <w:t>俸</w:t>
      </w:r>
      <w:proofErr w:type="gramEnd"/>
      <w:r>
        <w:rPr>
          <w:rFonts w:hint="eastAsia"/>
        </w:rPr>
        <w:t>之調整重新計算。</w:t>
      </w:r>
    </w:p>
    <w:p w:rsidR="006E1B8D" w:rsidRDefault="006E1B8D" w:rsidP="007D0EAB">
      <w:pPr>
        <w:pStyle w:val="a7"/>
        <w:spacing w:line="480" w:lineRule="exact"/>
        <w:ind w:left="1200" w:hanging="1200"/>
        <w:rPr>
          <w:rFonts w:hint="eastAsia"/>
        </w:rPr>
      </w:pPr>
      <w:r>
        <w:rPr>
          <w:rFonts w:hint="eastAsia"/>
        </w:rPr>
        <w:t>第三十九條　　退休人員每月退休所得，依第三十六條規定調降優存利息後，仍超出附表三所定各年度替代率上限者，應依下列順序，扣減每月退休所得，至不超過其替代率上限所得金額止：</w:t>
      </w:r>
    </w:p>
    <w:p w:rsidR="006E1B8D" w:rsidRDefault="006E1B8D" w:rsidP="007D0EAB">
      <w:pPr>
        <w:pStyle w:val="a6"/>
        <w:spacing w:line="480" w:lineRule="exact"/>
        <w:ind w:left="2160" w:hanging="240"/>
        <w:rPr>
          <w:rFonts w:hint="eastAsia"/>
        </w:rPr>
      </w:pPr>
      <w:r>
        <w:rPr>
          <w:rFonts w:hint="eastAsia"/>
        </w:rPr>
        <w:t>一、每月所領公保一次養老給付或一次退休金優存利息。</w:t>
      </w:r>
    </w:p>
    <w:p w:rsidR="006E1B8D" w:rsidRDefault="006E1B8D" w:rsidP="007D0EAB">
      <w:pPr>
        <w:pStyle w:val="a6"/>
        <w:spacing w:line="480" w:lineRule="exact"/>
        <w:ind w:left="2160" w:hanging="240"/>
        <w:rPr>
          <w:rFonts w:hint="eastAsia"/>
        </w:rPr>
      </w:pPr>
      <w:r>
        <w:rPr>
          <w:rFonts w:hint="eastAsia"/>
        </w:rPr>
        <w:t>二、退撫新制實施前年資所計得之月退休金（含月補償金）。</w:t>
      </w:r>
    </w:p>
    <w:p w:rsidR="006E1B8D" w:rsidRDefault="006E1B8D" w:rsidP="007D0EAB">
      <w:pPr>
        <w:pStyle w:val="a6"/>
        <w:spacing w:line="480" w:lineRule="exact"/>
        <w:ind w:left="2160" w:hanging="240"/>
        <w:rPr>
          <w:rFonts w:hint="eastAsia"/>
        </w:rPr>
      </w:pPr>
      <w:r>
        <w:rPr>
          <w:rFonts w:hint="eastAsia"/>
        </w:rPr>
        <w:t>三、退撫新制實施後年資所計得之月退休金。</w:t>
      </w:r>
    </w:p>
    <w:p w:rsidR="006E1B8D" w:rsidRDefault="006E1B8D" w:rsidP="007D0EAB">
      <w:pPr>
        <w:pStyle w:val="a8"/>
        <w:spacing w:line="480" w:lineRule="exact"/>
        <w:ind w:left="1380" w:firstLine="480"/>
        <w:rPr>
          <w:rFonts w:hint="eastAsia"/>
        </w:rPr>
      </w:pPr>
      <w:r>
        <w:rPr>
          <w:rFonts w:hint="eastAsia"/>
        </w:rPr>
        <w:t>退休人員每月所領退休所得，依第三十七條或前條規定計算後，有低於最低保障金額者，支給最低保障金額。但原金額原即低於最低保障金額者，依原金額支給。</w:t>
      </w:r>
    </w:p>
    <w:p w:rsidR="006E1B8D" w:rsidRDefault="006E1B8D" w:rsidP="007D0EAB">
      <w:pPr>
        <w:pStyle w:val="a8"/>
        <w:spacing w:line="480" w:lineRule="exact"/>
        <w:ind w:left="1380" w:firstLine="480"/>
        <w:rPr>
          <w:rFonts w:hint="eastAsia"/>
        </w:rPr>
      </w:pPr>
      <w:r>
        <w:rPr>
          <w:rFonts w:hint="eastAsia"/>
        </w:rPr>
        <w:t>前項所定最低保障金額，於選擇兼領月退休金者，各</w:t>
      </w:r>
      <w:proofErr w:type="gramStart"/>
      <w:r>
        <w:rPr>
          <w:rFonts w:hint="eastAsia"/>
        </w:rPr>
        <w:t>依其兼領</w:t>
      </w:r>
      <w:proofErr w:type="gramEnd"/>
      <w:r>
        <w:rPr>
          <w:rFonts w:hint="eastAsia"/>
        </w:rPr>
        <w:t>一次退休金與兼領月退休金比率計算。</w:t>
      </w:r>
    </w:p>
    <w:p w:rsidR="006E1B8D" w:rsidRDefault="006E1B8D" w:rsidP="007D0EAB">
      <w:pPr>
        <w:pStyle w:val="1"/>
        <w:spacing w:line="480" w:lineRule="exact"/>
        <w:ind w:left="1163" w:hanging="1163"/>
        <w:rPr>
          <w:rFonts w:hint="eastAsia"/>
        </w:rPr>
      </w:pPr>
      <w:r w:rsidRPr="000B37AD">
        <w:rPr>
          <w:rFonts w:hint="eastAsia"/>
          <w:spacing w:val="35"/>
        </w:rPr>
        <w:t>第四十</w:t>
      </w:r>
      <w:r>
        <w:rPr>
          <w:rFonts w:hint="eastAsia"/>
        </w:rPr>
        <w:t>條　　退休公務人員退休所得依第三十六條至第三十八條規定扣減後，各級政府每年所節省之退撫經費支出，應全數</w:t>
      </w:r>
      <w:proofErr w:type="gramStart"/>
      <w:r>
        <w:rPr>
          <w:rFonts w:hint="eastAsia"/>
        </w:rPr>
        <w:t>挹</w:t>
      </w:r>
      <w:proofErr w:type="gramEnd"/>
      <w:r>
        <w:rPr>
          <w:rFonts w:hint="eastAsia"/>
        </w:rPr>
        <w:t>注退撫基金，不得挪作他用。</w:t>
      </w:r>
    </w:p>
    <w:p w:rsidR="006E1B8D" w:rsidRDefault="006E1B8D" w:rsidP="007D0EAB">
      <w:pPr>
        <w:pStyle w:val="10"/>
        <w:spacing w:line="480" w:lineRule="exact"/>
        <w:ind w:left="1380" w:firstLine="480"/>
        <w:rPr>
          <w:rFonts w:hint="eastAsia"/>
        </w:rPr>
      </w:pPr>
      <w:r>
        <w:rPr>
          <w:rFonts w:hint="eastAsia"/>
        </w:rPr>
        <w:t>前項</w:t>
      </w:r>
      <w:proofErr w:type="gramStart"/>
      <w:r>
        <w:rPr>
          <w:rFonts w:hint="eastAsia"/>
        </w:rPr>
        <w:t>挹</w:t>
      </w:r>
      <w:proofErr w:type="gramEnd"/>
      <w:r>
        <w:rPr>
          <w:rFonts w:hint="eastAsia"/>
        </w:rPr>
        <w:t>注退撫基金之金額，由考試院會同行政院於退休公務人員每月退休所得調降後之次年三月一日前確定，再由基金管理機關依據預算程序，編列為下一年度預算並由各級政府於年度預算完成立法程序後撥付之。</w:t>
      </w:r>
    </w:p>
    <w:p w:rsidR="006E1B8D" w:rsidRPr="000B37AD" w:rsidRDefault="006E1B8D" w:rsidP="007D0EAB">
      <w:pPr>
        <w:pStyle w:val="10"/>
        <w:spacing w:line="480" w:lineRule="exact"/>
        <w:ind w:left="1380" w:firstLine="480"/>
        <w:rPr>
          <w:rFonts w:hint="eastAsia"/>
        </w:rPr>
      </w:pPr>
      <w:r>
        <w:rPr>
          <w:rFonts w:hint="eastAsia"/>
        </w:rPr>
        <w:t>前項每年度之</w:t>
      </w:r>
      <w:proofErr w:type="gramStart"/>
      <w:r>
        <w:rPr>
          <w:rFonts w:hint="eastAsia"/>
        </w:rPr>
        <w:t>挹</w:t>
      </w:r>
      <w:proofErr w:type="gramEnd"/>
      <w:r>
        <w:rPr>
          <w:rFonts w:hint="eastAsia"/>
        </w:rPr>
        <w:t>注金額，由基金管理機關定期上網公告之。</w:t>
      </w:r>
    </w:p>
    <w:p w:rsidR="006E1B8D" w:rsidRPr="006E1B8D" w:rsidRDefault="006E1B8D" w:rsidP="006E1B8D">
      <w:pPr>
        <w:widowControl/>
        <w:rPr>
          <w:rFonts w:ascii="標楷體" w:eastAsia="標楷體" w:hAnsi="標楷體" w:hint="eastAsia"/>
          <w:sz w:val="32"/>
          <w:szCs w:val="32"/>
          <w:shd w:val="pct15" w:color="auto" w:fill="FFFFFF"/>
        </w:rPr>
      </w:pPr>
    </w:p>
    <w:p w:rsidR="007D0EAB" w:rsidRDefault="007D0EAB" w:rsidP="00A520D9">
      <w:pPr>
        <w:sectPr w:rsidR="007D0EAB" w:rsidSect="00A520D9">
          <w:pgSz w:w="11906" w:h="16838"/>
          <w:pgMar w:top="1134" w:right="1418" w:bottom="851" w:left="1418" w:header="851" w:footer="992" w:gutter="0"/>
          <w:cols w:space="425"/>
          <w:docGrid w:type="lines" w:linePitch="360"/>
        </w:sectPr>
      </w:pPr>
    </w:p>
    <w:p w:rsidR="007D0EAB" w:rsidRPr="007D0EAB" w:rsidRDefault="007D0EAB" w:rsidP="007D0EAB">
      <w:pPr>
        <w:ind w:leftChars="150" w:left="3684" w:hangingChars="1385" w:hanging="3324"/>
        <w:rPr>
          <w:rFonts w:ascii="標楷體" w:eastAsia="標楷體" w:hAnsi="標楷體" w:cs="新細明體"/>
          <w:bCs/>
          <w:color w:val="FF0000"/>
          <w:kern w:val="0"/>
        </w:rPr>
      </w:pPr>
      <w:r w:rsidRPr="007D0EAB">
        <w:rPr>
          <w:rFonts w:ascii="標楷體" w:eastAsia="標楷體" w:hAnsi="標楷體" w:hint="eastAsia"/>
          <w:color w:val="000000"/>
        </w:rPr>
        <w:lastRenderedPageBreak/>
        <w:t>附表三  公務人員退休</w:t>
      </w:r>
      <w:r>
        <w:rPr>
          <w:rFonts w:ascii="標楷體" w:eastAsia="標楷體" w:hAnsi="標楷體" w:hint="eastAsia"/>
          <w:color w:val="000000"/>
        </w:rPr>
        <w:t>資遣</w:t>
      </w:r>
      <w:r w:rsidRPr="007D0EAB">
        <w:rPr>
          <w:rFonts w:ascii="標楷體" w:eastAsia="標楷體" w:hAnsi="標楷體" w:hint="eastAsia"/>
          <w:color w:val="000000"/>
        </w:rPr>
        <w:t>撫</w:t>
      </w:r>
      <w:proofErr w:type="gramStart"/>
      <w:r w:rsidRPr="007D0EAB">
        <w:rPr>
          <w:rFonts w:ascii="標楷體" w:eastAsia="標楷體" w:hAnsi="標楷體" w:hint="eastAsia"/>
          <w:color w:val="000000"/>
        </w:rPr>
        <w:t>卹</w:t>
      </w:r>
      <w:proofErr w:type="gramEnd"/>
      <w:r w:rsidRPr="007D0EAB">
        <w:rPr>
          <w:rFonts w:ascii="標楷體" w:eastAsia="標楷體" w:hAnsi="標楷體" w:hint="eastAsia"/>
          <w:color w:val="000000"/>
        </w:rPr>
        <w:t>法第三十七條附表</w:t>
      </w:r>
      <w:proofErr w:type="gramStart"/>
      <w:r w:rsidRPr="007D0EAB">
        <w:rPr>
          <w:rFonts w:ascii="標楷體" w:eastAsia="標楷體" w:hAnsi="標楷體" w:hint="eastAsia"/>
          <w:color w:val="000000"/>
        </w:rPr>
        <w:t>─</w:t>
      </w:r>
      <w:proofErr w:type="gramEnd"/>
      <w:r w:rsidRPr="007D0EAB">
        <w:rPr>
          <w:rFonts w:ascii="標楷體" w:eastAsia="標楷體" w:hAnsi="標楷體" w:hint="eastAsia"/>
          <w:color w:val="000000"/>
        </w:rPr>
        <w:t>退休公務人員</w:t>
      </w:r>
      <w:r w:rsidRPr="007D0EAB">
        <w:rPr>
          <w:rFonts w:ascii="標楷體" w:eastAsia="標楷體" w:hAnsi="標楷體" w:cs="新細明體" w:hint="eastAsia"/>
          <w:color w:val="000000"/>
          <w:kern w:val="0"/>
        </w:rPr>
        <w:t>經審定退休年資之</w:t>
      </w:r>
      <w:r w:rsidRPr="007D0EAB">
        <w:rPr>
          <w:rFonts w:ascii="標楷體" w:eastAsia="標楷體" w:hAnsi="標楷體" w:cs="新細明體" w:hint="eastAsia"/>
          <w:bCs/>
          <w:color w:val="000000"/>
          <w:kern w:val="0"/>
        </w:rPr>
        <w:t>退休所得替代率對照彙整表</w:t>
      </w:r>
    </w:p>
    <w:tbl>
      <w:tblPr>
        <w:tblStyle w:val="af1"/>
        <w:tblW w:w="0" w:type="auto"/>
        <w:jc w:val="center"/>
        <w:tblLayout w:type="fixed"/>
        <w:tblLook w:val="04A0" w:firstRow="1" w:lastRow="0" w:firstColumn="1" w:lastColumn="0" w:noHBand="0" w:noVBand="1"/>
      </w:tblPr>
      <w:tblGrid>
        <w:gridCol w:w="2127"/>
        <w:gridCol w:w="1134"/>
        <w:gridCol w:w="1134"/>
        <w:gridCol w:w="1134"/>
        <w:gridCol w:w="1134"/>
        <w:gridCol w:w="1134"/>
        <w:gridCol w:w="1134"/>
        <w:gridCol w:w="1134"/>
        <w:gridCol w:w="1134"/>
        <w:gridCol w:w="1134"/>
        <w:gridCol w:w="1134"/>
        <w:gridCol w:w="1134"/>
      </w:tblGrid>
      <w:tr w:rsidR="007D0EAB" w:rsidRPr="007D0EAB" w:rsidTr="009D03FF">
        <w:trPr>
          <w:trHeight w:val="490"/>
          <w:jc w:val="center"/>
        </w:trPr>
        <w:tc>
          <w:tcPr>
            <w:tcW w:w="2127" w:type="dxa"/>
            <w:tcBorders>
              <w:tl2br w:val="nil"/>
            </w:tcBorders>
            <w:hideMark/>
          </w:tcPr>
          <w:p w:rsidR="007D0EAB" w:rsidRPr="007D0EAB" w:rsidRDefault="007D0EAB" w:rsidP="007D0EAB">
            <w:pPr>
              <w:widowControl/>
              <w:spacing w:line="313" w:lineRule="atLeast"/>
              <w:jc w:val="right"/>
              <w:rPr>
                <w:rFonts w:ascii="標楷體" w:eastAsia="標楷體" w:hAnsi="標楷體" w:cs="Arial"/>
                <w:bCs/>
                <w:color w:val="CC00CC"/>
                <w:spacing w:val="-20"/>
                <w:sz w:val="22"/>
                <w:szCs w:val="20"/>
              </w:rPr>
            </w:pPr>
            <w:r w:rsidRPr="007D0EAB">
              <w:rPr>
                <w:rFonts w:ascii="標楷體" w:eastAsia="標楷體" w:hAnsi="標楷體" w:cs="Arial" w:hint="eastAsia"/>
                <w:bCs/>
                <w:noProof/>
                <w:color w:val="CC00CC"/>
                <w:spacing w:val="-20"/>
                <w:sz w:val="22"/>
                <w:szCs w:val="20"/>
              </w:rPr>
              <mc:AlternateContent>
                <mc:Choice Requires="wps">
                  <w:drawing>
                    <wp:anchor distT="0" distB="0" distL="114300" distR="114300" simplePos="0" relativeHeight="251661312" behindDoc="0" locked="0" layoutInCell="1" allowOverlap="1" wp14:anchorId="4C78257E" wp14:editId="384321C0">
                      <wp:simplePos x="0" y="0"/>
                      <wp:positionH relativeFrom="column">
                        <wp:posOffset>109855</wp:posOffset>
                      </wp:positionH>
                      <wp:positionV relativeFrom="paragraph">
                        <wp:posOffset>157338</wp:posOffset>
                      </wp:positionV>
                      <wp:extent cx="559559" cy="245660"/>
                      <wp:effectExtent l="0" t="0" r="0" b="2540"/>
                      <wp:wrapNone/>
                      <wp:docPr id="7" name="文字方塊 7"/>
                      <wp:cNvGraphicFramePr/>
                      <a:graphic xmlns:a="http://schemas.openxmlformats.org/drawingml/2006/main">
                        <a:graphicData uri="http://schemas.microsoft.com/office/word/2010/wordprocessingShape">
                          <wps:wsp>
                            <wps:cNvSpPr txBox="1"/>
                            <wps:spPr>
                              <a:xfrm>
                                <a:off x="0" y="0"/>
                                <a:ext cx="559559" cy="245660"/>
                              </a:xfrm>
                              <a:prstGeom prst="rect">
                                <a:avLst/>
                              </a:prstGeom>
                              <a:noFill/>
                              <a:ln w="6350">
                                <a:noFill/>
                              </a:ln>
                              <a:effectLst/>
                            </wps:spPr>
                            <wps:txbx>
                              <w:txbxContent>
                                <w:p w:rsidR="007D0EAB" w:rsidRPr="00B459C2" w:rsidRDefault="007D0EAB" w:rsidP="007D0EAB">
                                  <w:pPr>
                                    <w:widowControl/>
                                    <w:adjustRightInd w:val="0"/>
                                    <w:snapToGrid w:val="0"/>
                                    <w:rPr>
                                      <w:rFonts w:ascii="標楷體" w:eastAsia="標楷體" w:hAnsi="標楷體" w:cs="Arial"/>
                                      <w:bCs/>
                                      <w:color w:val="CC00CC"/>
                                      <w:spacing w:val="-20"/>
                                      <w:kern w:val="0"/>
                                      <w:sz w:val="22"/>
                                    </w:rPr>
                                  </w:pPr>
                                  <w:r w:rsidRPr="00B459C2">
                                    <w:rPr>
                                      <w:rFonts w:ascii="標楷體" w:eastAsia="標楷體" w:hAnsi="標楷體" w:cs="Arial" w:hint="eastAsia"/>
                                      <w:bCs/>
                                      <w:color w:val="CC00CC"/>
                                      <w:spacing w:val="-20"/>
                                      <w:kern w:val="0"/>
                                      <w:sz w:val="22"/>
                                    </w:rPr>
                                    <w:t>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8.65pt;margin-top:12.4pt;width:44.0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" filled="f" stroked="f" strokeweight=".5pt">
                      <v:textbox>
                        <w:txbxContent>
                          <w:p w:rsidR="007D0EAB" w:rsidRPr="00B459C2" w:rsidRDefault="007D0EAB" w:rsidP="007D0EAB">
                            <w:pPr>
                              <w:widowControl/>
                              <w:adjustRightInd w:val="0"/>
                              <w:snapToGrid w:val="0"/>
                              <w:rPr>
                                <w:rFonts w:ascii="標楷體" w:eastAsia="標楷體" w:hAnsi="標楷體" w:cs="Arial"/>
                                <w:bCs/>
                                <w:color w:val="CC00CC"/>
                                <w:spacing w:val="-20"/>
                                <w:kern w:val="0"/>
                                <w:sz w:val="22"/>
                              </w:rPr>
                            </w:pPr>
                            <w:r w:rsidRPr="00B459C2">
                              <w:rPr>
                                <w:rFonts w:ascii="標楷體" w:eastAsia="標楷體" w:hAnsi="標楷體" w:cs="Arial" w:hint="eastAsia"/>
                                <w:bCs/>
                                <w:color w:val="CC00CC"/>
                                <w:spacing w:val="-20"/>
                                <w:kern w:val="0"/>
                                <w:sz w:val="22"/>
                              </w:rPr>
                              <w:t>比率</w:t>
                            </w:r>
                          </w:p>
                        </w:txbxContent>
                      </v:textbox>
                    </v:shape>
                  </w:pict>
                </mc:Fallback>
              </mc:AlternateContent>
            </w:r>
            <w:r w:rsidRPr="007D0EAB">
              <w:rPr>
                <w:rFonts w:ascii="標楷體" w:eastAsia="標楷體" w:hAnsi="標楷體" w:cs="Arial" w:hint="eastAsia"/>
                <w:bCs/>
                <w:color w:val="CC00CC"/>
                <w:spacing w:val="-20"/>
                <w:sz w:val="22"/>
                <w:szCs w:val="20"/>
              </w:rPr>
              <w:t>實施期間</w:t>
            </w:r>
          </w:p>
          <w:p w:rsidR="007D0EAB" w:rsidRPr="007D0EAB" w:rsidRDefault="007D0EAB" w:rsidP="007D0EAB">
            <w:pPr>
              <w:widowControl/>
              <w:spacing w:line="313" w:lineRule="atLeast"/>
              <w:rPr>
                <w:rFonts w:ascii="標楷體" w:eastAsia="標楷體" w:hAnsi="標楷體" w:cs="Arial"/>
                <w:bCs/>
                <w:spacing w:val="-20"/>
                <w:sz w:val="22"/>
                <w:szCs w:val="20"/>
              </w:rPr>
            </w:pPr>
            <w:r w:rsidRPr="007D0EAB">
              <w:rPr>
                <w:rFonts w:ascii="標楷體" w:eastAsia="標楷體" w:hAnsi="標楷體" w:cs="Arial" w:hint="eastAsia"/>
                <w:bCs/>
                <w:noProof/>
                <w:spacing w:val="-20"/>
                <w:sz w:val="22"/>
                <w:szCs w:val="20"/>
              </w:rPr>
              <mc:AlternateContent>
                <mc:Choice Requires="wps">
                  <w:drawing>
                    <wp:anchor distT="0" distB="0" distL="114300" distR="114300" simplePos="0" relativeHeight="251659264" behindDoc="0" locked="0" layoutInCell="1" allowOverlap="1" wp14:anchorId="02728777" wp14:editId="7EC382FE">
                      <wp:simplePos x="0" y="0"/>
                      <wp:positionH relativeFrom="column">
                        <wp:posOffset>-67310</wp:posOffset>
                      </wp:positionH>
                      <wp:positionV relativeFrom="paragraph">
                        <wp:posOffset>73660</wp:posOffset>
                      </wp:positionV>
                      <wp:extent cx="1358900" cy="628650"/>
                      <wp:effectExtent l="0" t="0" r="31750" b="19050"/>
                      <wp:wrapNone/>
                      <wp:docPr id="5" name="直線接點 5"/>
                      <wp:cNvGraphicFramePr/>
                      <a:graphic xmlns:a="http://schemas.openxmlformats.org/drawingml/2006/main">
                        <a:graphicData uri="http://schemas.microsoft.com/office/word/2010/wordprocessingShape">
                          <wps:wsp>
                            <wps:cNvCnPr/>
                            <wps:spPr>
                              <a:xfrm>
                                <a:off x="0" y="0"/>
                                <a:ext cx="1358900" cy="628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8pt" to="101.7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" strokecolor="windowText" strokeweight=".5pt"/>
                  </w:pict>
                </mc:Fallback>
              </mc:AlternateContent>
            </w:r>
          </w:p>
          <w:p w:rsidR="007D0EAB" w:rsidRPr="007D0EAB" w:rsidRDefault="007D0EAB" w:rsidP="007D0EAB">
            <w:pPr>
              <w:widowControl/>
              <w:spacing w:line="313" w:lineRule="atLeast"/>
              <w:rPr>
                <w:rFonts w:ascii="標楷體" w:eastAsia="標楷體" w:hAnsi="標楷體" w:cs="Arial"/>
                <w:bCs/>
                <w:spacing w:val="-20"/>
                <w:sz w:val="22"/>
                <w:szCs w:val="20"/>
              </w:rPr>
            </w:pPr>
          </w:p>
          <w:p w:rsidR="007D0EAB" w:rsidRPr="007D0EAB" w:rsidRDefault="007D0EAB" w:rsidP="007D0EAB">
            <w:pPr>
              <w:widowControl/>
              <w:spacing w:line="313" w:lineRule="atLeast"/>
              <w:rPr>
                <w:rFonts w:ascii="標楷體" w:eastAsia="標楷體" w:hAnsi="Arial" w:cs="Arial"/>
                <w:spacing w:val="-20"/>
                <w:sz w:val="22"/>
                <w:szCs w:val="36"/>
              </w:rPr>
            </w:pPr>
            <w:r w:rsidRPr="007D0EAB">
              <w:rPr>
                <w:rFonts w:ascii="標楷體" w:eastAsia="標楷體" w:hAnsi="標楷體" w:cs="Arial" w:hint="eastAsia"/>
                <w:bCs/>
                <w:spacing w:val="-20"/>
                <w:sz w:val="22"/>
                <w:szCs w:val="20"/>
              </w:rPr>
              <w:t>任職年資</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snapToGrid w:val="0"/>
                <w:color w:val="000000"/>
                <w:spacing w:val="-20"/>
                <w:w w:val="90"/>
                <w:sz w:val="18"/>
                <w:szCs w:val="18"/>
              </w:rPr>
            </w:pPr>
            <w:r w:rsidRPr="007D0EAB">
              <w:rPr>
                <w:rFonts w:ascii="標楷體" w:eastAsia="標楷體" w:hAnsi="Arial" w:cs="Arial" w:hint="eastAsia"/>
                <w:snapToGrid w:val="0"/>
                <w:color w:val="000000"/>
                <w:spacing w:val="-20"/>
                <w:w w:val="90"/>
                <w:sz w:val="18"/>
                <w:szCs w:val="18"/>
              </w:rPr>
              <w:t>中華民國一百零七年七月一日至一百零八年十二月三十一日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中華民國一百零九年一月一日至一百零九年十二月三十一日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中華民國一百十年一月一日至一百十年十二月三十一日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中華民國一百十一年一月一日至一百十一年十二月三十一日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中華民國一百十二年一月一日至一百十二年十二月三十一日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中華民國一百十三年一月一日至一百十三年十二月三十一日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中華民國一百十四年一月一日至一百十四年十二月三十一日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中華民國一百十五年一月一日至一百十五年十二月三十一日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中華民國一百十六年一月一日至一百十六年十二月三十一日</w:t>
            </w:r>
          </w:p>
        </w:tc>
        <w:tc>
          <w:tcPr>
            <w:tcW w:w="1134" w:type="dxa"/>
            <w:vAlign w:val="center"/>
            <w:hideMark/>
          </w:tcPr>
          <w:p w:rsidR="007D0EAB" w:rsidRPr="007D0EAB" w:rsidRDefault="007D0EAB" w:rsidP="007D0EAB">
            <w:pPr>
              <w:widowControl/>
              <w:spacing w:line="313" w:lineRule="atLeast"/>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中華民國一百十七年一月一日至一百十七年十二月三十一日</w:t>
            </w:r>
          </w:p>
        </w:tc>
        <w:tc>
          <w:tcPr>
            <w:tcW w:w="1134" w:type="dxa"/>
            <w:vAlign w:val="center"/>
            <w:hideMark/>
          </w:tcPr>
          <w:p w:rsidR="007D0EAB" w:rsidRPr="007D0EAB" w:rsidRDefault="007D0EAB" w:rsidP="007D0EAB">
            <w:pPr>
              <w:widowControl/>
              <w:spacing w:line="313" w:lineRule="atLeast"/>
              <w:ind w:leftChars="-36" w:left="-86" w:rightChars="-36" w:right="-86"/>
              <w:jc w:val="center"/>
              <w:rPr>
                <w:rFonts w:ascii="標楷體" w:eastAsia="標楷體" w:hAnsi="Arial" w:cs="Arial"/>
                <w:color w:val="000000"/>
                <w:spacing w:val="-20"/>
                <w:w w:val="90"/>
                <w:sz w:val="18"/>
                <w:szCs w:val="18"/>
              </w:rPr>
            </w:pPr>
            <w:r w:rsidRPr="007D0EAB">
              <w:rPr>
                <w:rFonts w:ascii="標楷體" w:eastAsia="標楷體" w:hAnsi="Arial" w:cs="Arial" w:hint="eastAsia"/>
                <w:color w:val="000000"/>
                <w:spacing w:val="-20"/>
                <w:w w:val="90"/>
                <w:sz w:val="18"/>
                <w:szCs w:val="18"/>
              </w:rPr>
              <w:t>中華民國一百十八年一月一日以後</w:t>
            </w:r>
          </w:p>
        </w:tc>
      </w:tr>
      <w:tr w:rsidR="007D0EAB" w:rsidRPr="007D0EAB" w:rsidTr="009D03FF">
        <w:trPr>
          <w:trHeight w:val="188"/>
          <w:jc w:val="center"/>
        </w:trPr>
        <w:tc>
          <w:tcPr>
            <w:tcW w:w="2127" w:type="dxa"/>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標楷體" w:cs="Arial" w:hint="eastAsia"/>
                <w:bCs/>
                <w:noProof/>
                <w:color w:val="CC00CC"/>
                <w:spacing w:val="-20"/>
                <w:sz w:val="22"/>
                <w:szCs w:val="20"/>
              </w:rPr>
              <mc:AlternateContent>
                <mc:Choice Requires="wps">
                  <w:drawing>
                    <wp:anchor distT="0" distB="0" distL="114300" distR="114300" simplePos="0" relativeHeight="251660288" behindDoc="0" locked="0" layoutInCell="1" allowOverlap="1" wp14:anchorId="2D855545" wp14:editId="6F25005F">
                      <wp:simplePos x="0" y="0"/>
                      <wp:positionH relativeFrom="column">
                        <wp:posOffset>364490</wp:posOffset>
                      </wp:positionH>
                      <wp:positionV relativeFrom="paragraph">
                        <wp:posOffset>-916940</wp:posOffset>
                      </wp:positionV>
                      <wp:extent cx="927735" cy="946785"/>
                      <wp:effectExtent l="0" t="0" r="24765" b="24765"/>
                      <wp:wrapNone/>
                      <wp:docPr id="6" name="直線接點 6"/>
                      <wp:cNvGraphicFramePr/>
                      <a:graphic xmlns:a="http://schemas.openxmlformats.org/drawingml/2006/main">
                        <a:graphicData uri="http://schemas.microsoft.com/office/word/2010/wordprocessingShape">
                          <wps:wsp>
                            <wps:cNvCnPr/>
                            <wps:spPr>
                              <a:xfrm>
                                <a:off x="0" y="0"/>
                                <a:ext cx="927735" cy="94678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72.2pt" to="10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" strokecolor="windowText" strokeweight=".5pt"/>
                  </w:pict>
                </mc:Fallback>
              </mc:AlternateContent>
            </w:r>
            <w:r w:rsidRPr="007D0EAB">
              <w:rPr>
                <w:rFonts w:ascii="標楷體" w:eastAsia="標楷體" w:hAnsi="Calibri" w:cs="Arial" w:hint="eastAsia"/>
                <w:bCs/>
                <w:color w:val="000000"/>
                <w:spacing w:val="-20"/>
              </w:rPr>
              <w:t>四十</w:t>
            </w:r>
          </w:p>
        </w:tc>
        <w:tc>
          <w:tcPr>
            <w:tcW w:w="1134" w:type="dxa"/>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hint="eastAsia"/>
                <w:color w:val="FF0000"/>
                <w:spacing w:val="-20"/>
              </w:rPr>
              <w:t>77.5%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76.0%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74.5%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73.0%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71.5%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70.0%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68.5%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67.0%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65.5%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64.0%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62.5%</w:t>
            </w:r>
          </w:p>
        </w:tc>
      </w:tr>
      <w:tr w:rsidR="007D0EAB" w:rsidRPr="007D0EAB" w:rsidTr="009D03FF">
        <w:trPr>
          <w:trHeight w:val="343"/>
          <w:jc w:val="center"/>
        </w:trPr>
        <w:tc>
          <w:tcPr>
            <w:tcW w:w="2127" w:type="dxa"/>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三十九</w:t>
            </w:r>
          </w:p>
        </w:tc>
        <w:tc>
          <w:tcPr>
            <w:tcW w:w="1134" w:type="dxa"/>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hint="eastAsia"/>
                <w:color w:val="FF0000"/>
                <w:spacing w:val="-20"/>
              </w:rPr>
              <w:t>77%</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75.5%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74.0%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72.5%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71.0%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69.5%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68.0%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66.5%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65.0%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63.5%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62.0%</w:t>
            </w:r>
          </w:p>
        </w:tc>
      </w:tr>
      <w:tr w:rsidR="007D0EAB" w:rsidRPr="007D0EAB" w:rsidTr="009D03FF">
        <w:trPr>
          <w:trHeight w:val="343"/>
          <w:jc w:val="center"/>
        </w:trPr>
        <w:tc>
          <w:tcPr>
            <w:tcW w:w="2127" w:type="dxa"/>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三十八</w:t>
            </w:r>
          </w:p>
        </w:tc>
        <w:tc>
          <w:tcPr>
            <w:tcW w:w="1134" w:type="dxa"/>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hint="eastAsia"/>
                <w:color w:val="FF0000"/>
                <w:spacing w:val="-20"/>
              </w:rPr>
              <w:t>76.5%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75.0%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73.5%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72.0%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70.5%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69.0%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67.5%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61.5%</w:t>
            </w:r>
          </w:p>
        </w:tc>
      </w:tr>
      <w:tr w:rsidR="007D0EAB" w:rsidRPr="007D0EAB" w:rsidTr="009D03FF">
        <w:trPr>
          <w:trHeight w:val="343"/>
          <w:jc w:val="center"/>
        </w:trPr>
        <w:tc>
          <w:tcPr>
            <w:tcW w:w="2127" w:type="dxa"/>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三十七</w:t>
            </w:r>
          </w:p>
        </w:tc>
        <w:tc>
          <w:tcPr>
            <w:tcW w:w="1134" w:type="dxa"/>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hint="eastAsia"/>
                <w:color w:val="FF0000"/>
                <w:spacing w:val="-20"/>
              </w:rPr>
              <w:t>76%</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74.5%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73.0%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71.5%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70.0%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68.5%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67.0%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65.5%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64.0%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62.5%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61.0%</w:t>
            </w:r>
          </w:p>
        </w:tc>
      </w:tr>
      <w:tr w:rsidR="007D0EAB" w:rsidRPr="007D0EAB" w:rsidTr="009D03FF">
        <w:trPr>
          <w:trHeight w:val="343"/>
          <w:jc w:val="center"/>
        </w:trPr>
        <w:tc>
          <w:tcPr>
            <w:tcW w:w="2127" w:type="dxa"/>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三十六</w:t>
            </w:r>
          </w:p>
        </w:tc>
        <w:tc>
          <w:tcPr>
            <w:tcW w:w="1134" w:type="dxa"/>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hint="eastAsia"/>
                <w:color w:val="FF0000"/>
                <w:spacing w:val="-20"/>
              </w:rPr>
              <w:t>75.5%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74.0%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72.5%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71.0%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69.5%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68.0%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66.5%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65.0%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63.5%</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62.0%</w:t>
            </w:r>
          </w:p>
        </w:tc>
        <w:tc>
          <w:tcPr>
            <w:tcW w:w="1134" w:type="dxa"/>
            <w:vAlign w:val="center"/>
          </w:tcPr>
          <w:p w:rsidR="007D0EAB" w:rsidRPr="007D0EAB" w:rsidRDefault="007D0EAB" w:rsidP="007D0EAB">
            <w:pPr>
              <w:adjustRightInd w:val="0"/>
              <w:snapToGrid w:val="0"/>
              <w:jc w:val="center"/>
              <w:rPr>
                <w:color w:val="FF0000"/>
              </w:rPr>
            </w:pPr>
            <w:r w:rsidRPr="007D0EAB">
              <w:rPr>
                <w:rFonts w:hint="eastAsia"/>
                <w:color w:val="FF0000"/>
              </w:rPr>
              <w:t>60.5%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三十五</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75.0%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73.5%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72.0%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70.5%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69.0%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67.5%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三十四</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73.5%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72.0%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70.5%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69.0%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67.5%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三十三</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72.0%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70.5%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69.0%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67.5%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三十二</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70.5%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69.0%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67.5%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三十一</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69.0%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67.5%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三十</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67.5%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二十九</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66.0%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二十八</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64.5%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二十七</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63.0%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二十六</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61.5%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二十五</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60.0%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二十四</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58.5%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43.5%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二十三</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57.0%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二十二</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55.5%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lastRenderedPageBreak/>
              <w:t>二十一</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54.0%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二十</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52.5%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37.5%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十九</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51.0%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37.5%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36.0%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十八</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49.5%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37.5%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36.0%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34.5%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Arial" w:cs="Arial"/>
                <w:color w:val="000000"/>
                <w:spacing w:val="-20"/>
              </w:rPr>
            </w:pPr>
            <w:r w:rsidRPr="007D0EAB">
              <w:rPr>
                <w:rFonts w:ascii="標楷體" w:eastAsia="標楷體" w:hAnsi="Calibri" w:cs="Arial" w:hint="eastAsia"/>
                <w:bCs/>
                <w:color w:val="000000"/>
                <w:spacing w:val="-20"/>
              </w:rPr>
              <w:t>十七</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48.0%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37.5%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36.0%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34.5%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33.0%</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Calibri" w:cs="Arial"/>
                <w:bCs/>
                <w:color w:val="000000"/>
                <w:spacing w:val="-20"/>
              </w:rPr>
            </w:pPr>
            <w:r w:rsidRPr="007D0EAB">
              <w:rPr>
                <w:rFonts w:ascii="標楷體" w:eastAsia="標楷體" w:hAnsi="Calibri" w:cs="Arial" w:hint="eastAsia"/>
                <w:bCs/>
                <w:color w:val="000000"/>
                <w:spacing w:val="-20"/>
              </w:rPr>
              <w:t>十六</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46.5%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37.5%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36.0%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34.5%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33.0%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31.5%</w:t>
            </w:r>
          </w:p>
        </w:tc>
      </w:tr>
      <w:tr w:rsidR="007D0EAB" w:rsidRPr="007D0EAB" w:rsidTr="009D03FF">
        <w:trPr>
          <w:trHeight w:val="343"/>
          <w:jc w:val="center"/>
        </w:trPr>
        <w:tc>
          <w:tcPr>
            <w:tcW w:w="2127" w:type="dxa"/>
            <w:hideMark/>
          </w:tcPr>
          <w:p w:rsidR="007D0EAB" w:rsidRPr="007D0EAB" w:rsidRDefault="007D0EAB" w:rsidP="007D0EAB">
            <w:pPr>
              <w:widowControl/>
              <w:adjustRightInd w:val="0"/>
              <w:spacing w:line="343" w:lineRule="atLeast"/>
              <w:jc w:val="center"/>
              <w:rPr>
                <w:rFonts w:ascii="標楷體" w:eastAsia="標楷體" w:hAnsi="Calibri" w:cs="Arial"/>
                <w:bCs/>
                <w:color w:val="000000"/>
                <w:spacing w:val="-20"/>
              </w:rPr>
            </w:pPr>
            <w:r w:rsidRPr="007D0EAB">
              <w:rPr>
                <w:rFonts w:ascii="標楷體" w:eastAsia="標楷體" w:hAnsi="Calibri" w:cs="Arial" w:hint="eastAsia"/>
                <w:bCs/>
                <w:color w:val="000000"/>
                <w:spacing w:val="-20"/>
              </w:rPr>
              <w:t>十五</w:t>
            </w:r>
          </w:p>
        </w:tc>
        <w:tc>
          <w:tcPr>
            <w:tcW w:w="1134" w:type="dxa"/>
            <w:hideMark/>
          </w:tcPr>
          <w:p w:rsidR="007D0EAB" w:rsidRPr="007D0EAB" w:rsidRDefault="007D0EAB" w:rsidP="007D0EAB">
            <w:pPr>
              <w:widowControl/>
              <w:snapToGrid w:val="0"/>
              <w:spacing w:line="343" w:lineRule="atLeast"/>
              <w:jc w:val="center"/>
              <w:rPr>
                <w:rFonts w:eastAsia="標楷體"/>
                <w:color w:val="FF0000"/>
                <w:spacing w:val="-20"/>
              </w:rPr>
            </w:pPr>
            <w:r w:rsidRPr="007D0EAB">
              <w:rPr>
                <w:rFonts w:eastAsia="標楷體"/>
                <w:color w:val="FF0000"/>
                <w:spacing w:val="-20"/>
              </w:rPr>
              <w:t>45.0%</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43.5%</w:t>
            </w:r>
          </w:p>
        </w:tc>
        <w:tc>
          <w:tcPr>
            <w:tcW w:w="1134" w:type="dxa"/>
            <w:vAlign w:val="center"/>
            <w:hideMark/>
          </w:tcPr>
          <w:p w:rsidR="007D0EAB" w:rsidRPr="007D0EAB" w:rsidRDefault="007D0EAB" w:rsidP="007D0EAB">
            <w:pPr>
              <w:adjustRightInd w:val="0"/>
              <w:snapToGrid w:val="0"/>
              <w:jc w:val="center"/>
              <w:rPr>
                <w:color w:val="FF0000"/>
              </w:rPr>
            </w:pPr>
            <w:r w:rsidRPr="007D0EAB">
              <w:rPr>
                <w:rFonts w:hint="eastAsia"/>
                <w:color w:val="FF0000"/>
              </w:rPr>
              <w:t>42.0%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40.5%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39.0%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37.5%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36.0%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34.5%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33.0%</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31.5%</w:t>
            </w:r>
          </w:p>
        </w:tc>
        <w:tc>
          <w:tcPr>
            <w:tcW w:w="1134" w:type="dxa"/>
            <w:vAlign w:val="center"/>
            <w:hideMark/>
          </w:tcPr>
          <w:p w:rsidR="007D0EAB" w:rsidRPr="007D0EAB" w:rsidRDefault="007D0EAB" w:rsidP="007D0EAB">
            <w:pPr>
              <w:adjustRightInd w:val="0"/>
              <w:snapToGrid w:val="0"/>
              <w:jc w:val="center"/>
              <w:rPr>
                <w:color w:val="000000"/>
              </w:rPr>
            </w:pPr>
            <w:r w:rsidRPr="007D0EAB">
              <w:rPr>
                <w:rFonts w:hint="eastAsia"/>
                <w:color w:val="FF0000"/>
              </w:rPr>
              <w:t>30.0%</w:t>
            </w:r>
          </w:p>
        </w:tc>
      </w:tr>
    </w:tbl>
    <w:p w:rsidR="007D0EAB" w:rsidRPr="007D0EAB" w:rsidRDefault="007D0EAB" w:rsidP="007D0EAB">
      <w:pPr>
        <w:rPr>
          <w:rFonts w:ascii="標楷體" w:eastAsia="標楷體" w:hAnsi="標楷體"/>
          <w:color w:val="000000"/>
        </w:rPr>
      </w:pPr>
      <w:r w:rsidRPr="007D0EAB">
        <w:rPr>
          <w:rFonts w:ascii="標楷體" w:eastAsia="標楷體" w:hAnsi="標楷體" w:hint="eastAsia"/>
          <w:color w:val="000000"/>
        </w:rPr>
        <w:t>註記：退休公務人員退休審定年資未滿十五年者，其退休所得替代率以十五年計。</w:t>
      </w:r>
    </w:p>
    <w:p w:rsidR="008527EE" w:rsidRDefault="008527EE" w:rsidP="00A520D9">
      <w:pPr>
        <w:sectPr w:rsidR="008527EE" w:rsidSect="007D0EAB">
          <w:pgSz w:w="16838" w:h="11906" w:orient="landscape"/>
          <w:pgMar w:top="1418" w:right="1134" w:bottom="1418" w:left="851" w:header="851" w:footer="992" w:gutter="0"/>
          <w:cols w:space="425"/>
          <w:docGrid w:type="lines" w:linePitch="360"/>
        </w:sectPr>
      </w:pPr>
    </w:p>
    <w:p w:rsidR="008527EE" w:rsidRDefault="008527EE" w:rsidP="008527EE">
      <w:pPr>
        <w:widowControl/>
        <w:rPr>
          <w:rFonts w:ascii="標楷體" w:eastAsia="標楷體" w:hAnsi="標楷體" w:hint="eastAsia"/>
          <w:sz w:val="32"/>
          <w:szCs w:val="32"/>
          <w:shd w:val="pct15" w:color="auto" w:fill="FFFFFF"/>
        </w:rPr>
      </w:pPr>
      <w:r>
        <w:rPr>
          <w:rFonts w:ascii="標楷體" w:eastAsia="標楷體" w:hAnsi="標楷體" w:hint="eastAsia"/>
          <w:sz w:val="32"/>
          <w:szCs w:val="32"/>
          <w:shd w:val="pct15" w:color="auto" w:fill="FFFFFF"/>
        </w:rPr>
        <w:lastRenderedPageBreak/>
        <w:t>四</w:t>
      </w:r>
      <w:r w:rsidRPr="00671062">
        <w:rPr>
          <w:rFonts w:ascii="標楷體" w:eastAsia="標楷體" w:hAnsi="標楷體" w:hint="eastAsia"/>
          <w:sz w:val="32"/>
          <w:szCs w:val="32"/>
          <w:shd w:val="pct15" w:color="auto" w:fill="FFFFFF"/>
        </w:rPr>
        <w:t>、</w:t>
      </w:r>
      <w:r>
        <w:rPr>
          <w:rFonts w:ascii="標楷體" w:eastAsia="標楷體" w:hAnsi="標楷體" w:hint="eastAsia"/>
          <w:sz w:val="32"/>
          <w:szCs w:val="32"/>
          <w:shd w:val="pct15" w:color="auto" w:fill="FFFFFF"/>
        </w:rPr>
        <w:t>刪除年資補償金</w:t>
      </w:r>
    </w:p>
    <w:p w:rsidR="008527EE" w:rsidRPr="008527EE" w:rsidRDefault="008527EE" w:rsidP="008527EE">
      <w:pPr>
        <w:kinsoku w:val="0"/>
        <w:overflowPunct w:val="0"/>
        <w:spacing w:line="500" w:lineRule="exact"/>
        <w:ind w:left="1200" w:hangingChars="500" w:hanging="1200"/>
        <w:jc w:val="both"/>
        <w:textAlignment w:val="center"/>
        <w:rPr>
          <w:rFonts w:eastAsia="華康細明體" w:hint="eastAsia"/>
          <w:bCs/>
        </w:rPr>
      </w:pPr>
      <w:r w:rsidRPr="008527EE">
        <w:rPr>
          <w:rFonts w:eastAsia="華康細明體" w:hint="eastAsia"/>
          <w:bCs/>
        </w:rPr>
        <w:t>第三十四條　　退休公務人員因兼具退撫新制實施前、後年資而得依原公務人員退休法第三十條第二項及第三項規定核發補償金者，於本法公布施行之日起</w:t>
      </w:r>
      <w:proofErr w:type="gramStart"/>
      <w:r w:rsidRPr="008527EE">
        <w:rPr>
          <w:rFonts w:eastAsia="華康細明體" w:hint="eastAsia"/>
          <w:bCs/>
        </w:rPr>
        <w:t>一</w:t>
      </w:r>
      <w:proofErr w:type="gramEnd"/>
      <w:r w:rsidRPr="008527EE">
        <w:rPr>
          <w:rFonts w:eastAsia="華康細明體" w:hint="eastAsia"/>
          <w:bCs/>
        </w:rPr>
        <w:t>年內退休生效時，仍依原規定核發。</w:t>
      </w:r>
    </w:p>
    <w:p w:rsidR="008527EE" w:rsidRPr="008527EE" w:rsidRDefault="008527EE" w:rsidP="008527EE">
      <w:pPr>
        <w:kinsoku w:val="0"/>
        <w:overflowPunct w:val="0"/>
        <w:spacing w:line="500" w:lineRule="exact"/>
        <w:ind w:leftChars="575" w:left="1380" w:firstLineChars="200" w:firstLine="480"/>
        <w:jc w:val="both"/>
        <w:textAlignment w:val="center"/>
        <w:rPr>
          <w:rFonts w:eastAsia="華康細明體" w:hint="eastAsia"/>
        </w:rPr>
      </w:pPr>
      <w:r w:rsidRPr="008527EE">
        <w:rPr>
          <w:rFonts w:eastAsia="華康細明體" w:hint="eastAsia"/>
        </w:rPr>
        <w:t>本法公布施行前已依原公務人員退休法第三十條第二項及第三項規定審定並領取補償金者，仍照本法公布施行前原適用之規定發給。</w:t>
      </w:r>
    </w:p>
    <w:p w:rsidR="008527EE" w:rsidRPr="008527EE" w:rsidRDefault="008527EE" w:rsidP="008527EE">
      <w:pPr>
        <w:kinsoku w:val="0"/>
        <w:overflowPunct w:val="0"/>
        <w:spacing w:line="500" w:lineRule="exact"/>
        <w:ind w:leftChars="575" w:left="1380" w:firstLineChars="200" w:firstLine="480"/>
        <w:jc w:val="both"/>
        <w:textAlignment w:val="center"/>
        <w:rPr>
          <w:rFonts w:eastAsia="華康細明體" w:hint="eastAsia"/>
        </w:rPr>
      </w:pPr>
      <w:r w:rsidRPr="008527EE">
        <w:rPr>
          <w:rFonts w:eastAsia="華康細明體" w:hint="eastAsia"/>
        </w:rPr>
        <w:t>前項人員已依原公務人員退休法第三十條第二項規定審定並領取月補償金者，於本法公布施行後，以其核定退休年資、等級，按退休時同等級現職人員本（年功）</w:t>
      </w:r>
      <w:proofErr w:type="gramStart"/>
      <w:r w:rsidRPr="008527EE">
        <w:rPr>
          <w:rFonts w:eastAsia="華康細明體" w:hint="eastAsia"/>
        </w:rPr>
        <w:t>俸</w:t>
      </w:r>
      <w:proofErr w:type="gramEnd"/>
      <w:r w:rsidRPr="008527EE">
        <w:rPr>
          <w:rFonts w:eastAsia="華康細明體" w:hint="eastAsia"/>
        </w:rPr>
        <w:t>（薪）額，依原公務人員退休法第三十條第二項規定，計算其應領之一次補償金，扣除其於本法公布施行前、後所領之月補償金後，補發其餘額。無餘額者，不再補發。</w:t>
      </w:r>
    </w:p>
    <w:p w:rsidR="008527EE" w:rsidRDefault="008527EE">
      <w:pPr>
        <w:widowControl/>
        <w:rPr>
          <w:rFonts w:ascii="標楷體" w:eastAsia="標楷體" w:hAnsi="標楷體"/>
          <w:sz w:val="32"/>
          <w:szCs w:val="32"/>
          <w:shd w:val="pct15" w:color="auto" w:fill="FFFFFF"/>
        </w:rPr>
      </w:pPr>
      <w:r>
        <w:rPr>
          <w:rFonts w:ascii="標楷體" w:eastAsia="標楷體" w:hAnsi="標楷體"/>
          <w:sz w:val="32"/>
          <w:szCs w:val="32"/>
          <w:shd w:val="pct15" w:color="auto" w:fill="FFFFFF"/>
        </w:rPr>
        <w:br w:type="page"/>
      </w:r>
    </w:p>
    <w:p w:rsidR="008527EE" w:rsidRDefault="008527EE" w:rsidP="008527EE">
      <w:pPr>
        <w:widowControl/>
        <w:rPr>
          <w:rFonts w:ascii="標楷體" w:eastAsia="標楷體" w:hAnsi="標楷體" w:hint="eastAsia"/>
          <w:sz w:val="32"/>
          <w:szCs w:val="32"/>
          <w:shd w:val="pct15" w:color="auto" w:fill="FFFFFF"/>
        </w:rPr>
      </w:pPr>
      <w:r>
        <w:rPr>
          <w:rFonts w:ascii="標楷體" w:eastAsia="標楷體" w:hAnsi="標楷體" w:hint="eastAsia"/>
          <w:sz w:val="32"/>
          <w:szCs w:val="32"/>
          <w:shd w:val="pct15" w:color="auto" w:fill="FFFFFF"/>
        </w:rPr>
        <w:lastRenderedPageBreak/>
        <w:t>五</w:t>
      </w:r>
      <w:r w:rsidRPr="00671062">
        <w:rPr>
          <w:rFonts w:ascii="標楷體" w:eastAsia="標楷體" w:hAnsi="標楷體" w:hint="eastAsia"/>
          <w:sz w:val="32"/>
          <w:szCs w:val="32"/>
          <w:shd w:val="pct15" w:color="auto" w:fill="FFFFFF"/>
        </w:rPr>
        <w:t>、</w:t>
      </w:r>
      <w:r>
        <w:rPr>
          <w:rFonts w:ascii="標楷體" w:eastAsia="標楷體" w:hAnsi="標楷體" w:hint="eastAsia"/>
          <w:sz w:val="32"/>
          <w:szCs w:val="32"/>
          <w:shd w:val="pct15" w:color="auto" w:fill="FFFFFF"/>
        </w:rPr>
        <w:t>離婚配偶退休金請求權</w:t>
      </w:r>
    </w:p>
    <w:p w:rsidR="008527EE" w:rsidRDefault="008527EE" w:rsidP="008527EE">
      <w:pPr>
        <w:pStyle w:val="a7"/>
        <w:ind w:left="1200" w:hanging="1200"/>
        <w:rPr>
          <w:rFonts w:hint="eastAsia"/>
        </w:rPr>
      </w:pPr>
      <w:r>
        <w:rPr>
          <w:rFonts w:hint="eastAsia"/>
        </w:rPr>
        <w:t>第八十二條　　公務人員之離婚配偶與該公務人員婚姻關係存續期間滿二年者，於法定財產制或共同財產制關係因離婚而消滅時，得依下列規定，請求分配該公務人員依本法規定支領之退休金：</w:t>
      </w:r>
    </w:p>
    <w:p w:rsidR="008527EE" w:rsidRDefault="008527EE" w:rsidP="008527EE">
      <w:pPr>
        <w:pStyle w:val="a6"/>
        <w:ind w:left="2160" w:hanging="240"/>
        <w:rPr>
          <w:rFonts w:hint="eastAsia"/>
        </w:rPr>
      </w:pPr>
      <w:r>
        <w:rPr>
          <w:rFonts w:hint="eastAsia"/>
        </w:rPr>
        <w:t>一、以其與該公務人員法定財產制或共同財產制關係在該公務人員審定退休年資期間所占比率二分之一為分配比率，計算得請求分配之退休金。</w:t>
      </w:r>
    </w:p>
    <w:p w:rsidR="008527EE" w:rsidRDefault="008527EE" w:rsidP="008527EE">
      <w:pPr>
        <w:pStyle w:val="a6"/>
        <w:ind w:left="2160" w:hanging="240"/>
        <w:rPr>
          <w:rFonts w:hint="eastAsia"/>
        </w:rPr>
      </w:pPr>
      <w:r>
        <w:rPr>
          <w:rFonts w:hint="eastAsia"/>
        </w:rPr>
        <w:t>二、前款所定得請求分配之退休金數額，按其審定退休年資計算之應領一次退休金為</w:t>
      </w:r>
      <w:proofErr w:type="gramStart"/>
      <w:r>
        <w:rPr>
          <w:rFonts w:hint="eastAsia"/>
        </w:rPr>
        <w:t>準</w:t>
      </w:r>
      <w:proofErr w:type="gramEnd"/>
      <w:r>
        <w:rPr>
          <w:rFonts w:hint="eastAsia"/>
        </w:rPr>
        <w:t>。</w:t>
      </w:r>
    </w:p>
    <w:p w:rsidR="008527EE" w:rsidRDefault="008527EE" w:rsidP="008527EE">
      <w:pPr>
        <w:pStyle w:val="a6"/>
        <w:ind w:left="2160" w:hanging="240"/>
        <w:rPr>
          <w:rFonts w:hint="eastAsia"/>
        </w:rPr>
      </w:pPr>
      <w:r>
        <w:rPr>
          <w:rFonts w:hint="eastAsia"/>
        </w:rPr>
        <w:t>三、所定法定財產制或共同財產制關係期間之計算以月計之，未滿一個月者，以一個月計。</w:t>
      </w:r>
    </w:p>
    <w:p w:rsidR="008527EE" w:rsidRDefault="008527EE" w:rsidP="008527EE">
      <w:pPr>
        <w:pStyle w:val="a6"/>
        <w:ind w:left="2160" w:hanging="240"/>
        <w:rPr>
          <w:rFonts w:hint="eastAsia"/>
        </w:rPr>
      </w:pPr>
      <w:r>
        <w:rPr>
          <w:rFonts w:hint="eastAsia"/>
        </w:rPr>
        <w:t>四、本項第一款所定二分之一分配顯失公平者，當事人一方得聲請法院調整或免除其分配額。</w:t>
      </w:r>
    </w:p>
    <w:p w:rsidR="008527EE" w:rsidRDefault="008527EE" w:rsidP="008527EE">
      <w:pPr>
        <w:pStyle w:val="a8"/>
        <w:ind w:left="1380" w:firstLine="480"/>
        <w:rPr>
          <w:rFonts w:hint="eastAsia"/>
        </w:rPr>
      </w:pPr>
      <w:r>
        <w:rPr>
          <w:rFonts w:hint="eastAsia"/>
        </w:rPr>
        <w:t>前項所定離婚配偶於婚姻關係存續期間依其他法律得享有退休金者，其分配請求權之行使，以該公務人員得依該其他法律享有同等離婚配偶退休金分配請求權者為限。</w:t>
      </w:r>
    </w:p>
    <w:p w:rsidR="008527EE" w:rsidRDefault="008527EE" w:rsidP="008527EE">
      <w:pPr>
        <w:pStyle w:val="a8"/>
        <w:ind w:left="1380" w:firstLine="480"/>
        <w:rPr>
          <w:rFonts w:hint="eastAsia"/>
        </w:rPr>
      </w:pPr>
      <w:r>
        <w:rPr>
          <w:rFonts w:hint="eastAsia"/>
        </w:rPr>
        <w:t>第一項請求權不得讓與或繼承。</w:t>
      </w:r>
    </w:p>
    <w:p w:rsidR="008527EE" w:rsidRDefault="008527EE" w:rsidP="008527EE">
      <w:pPr>
        <w:pStyle w:val="a8"/>
        <w:ind w:left="1380" w:firstLine="480"/>
        <w:rPr>
          <w:rFonts w:hint="eastAsia"/>
        </w:rPr>
      </w:pPr>
      <w:r>
        <w:rPr>
          <w:rFonts w:hint="eastAsia"/>
        </w:rPr>
        <w:t>公務人員之離婚配偶自知悉有第一項請求權時起，二年間不行使而消滅；自法定財產制或共同財產制關係消滅時起，逾五年者，亦同。</w:t>
      </w:r>
    </w:p>
    <w:p w:rsidR="008527EE" w:rsidRDefault="008527EE" w:rsidP="008527EE">
      <w:pPr>
        <w:pStyle w:val="a8"/>
        <w:ind w:left="1380" w:firstLine="480"/>
        <w:rPr>
          <w:rFonts w:hint="eastAsia"/>
        </w:rPr>
      </w:pPr>
      <w:r>
        <w:rPr>
          <w:rFonts w:hint="eastAsia"/>
        </w:rPr>
        <w:t>公務人員係命令退休或本法公布施行前退休者，其依本法支領之退休金，不適用本條規定。</w:t>
      </w:r>
    </w:p>
    <w:p w:rsidR="008527EE" w:rsidRDefault="008527EE" w:rsidP="008527EE">
      <w:pPr>
        <w:pStyle w:val="a8"/>
        <w:ind w:left="1380" w:firstLine="480"/>
        <w:rPr>
          <w:rFonts w:hint="eastAsia"/>
        </w:rPr>
      </w:pPr>
      <w:r>
        <w:rPr>
          <w:rFonts w:hint="eastAsia"/>
        </w:rPr>
        <w:t>本法公布施行前已離婚者，不適用本條規定。</w:t>
      </w:r>
    </w:p>
    <w:p w:rsidR="008527EE" w:rsidRDefault="008527EE" w:rsidP="008527EE">
      <w:pPr>
        <w:pStyle w:val="a7"/>
        <w:ind w:left="1200" w:hanging="1200"/>
        <w:rPr>
          <w:rFonts w:hint="eastAsia"/>
        </w:rPr>
      </w:pPr>
      <w:r>
        <w:rPr>
          <w:rFonts w:hint="eastAsia"/>
        </w:rPr>
        <w:t>第八十三條　　公務人員之離婚配偶依前條規定請求分配公務人員退休金，其給付方式依當事人之協議。無法協議或協議不成者，得通知退休金審（核）定機關於審定該公務人員退休金時，按前條規定審定應分配之退休金總額並由支給機關一次發給。</w:t>
      </w:r>
    </w:p>
    <w:p w:rsidR="008527EE" w:rsidRDefault="008527EE" w:rsidP="008527EE">
      <w:pPr>
        <w:pStyle w:val="a8"/>
        <w:ind w:left="1380" w:firstLine="480"/>
        <w:rPr>
          <w:rFonts w:hint="eastAsia"/>
        </w:rPr>
      </w:pPr>
      <w:r>
        <w:rPr>
          <w:rFonts w:hint="eastAsia"/>
        </w:rPr>
        <w:t>公務人員之退休金依前項規定被分配時，按被分配比率依下列規定扣減：</w:t>
      </w:r>
    </w:p>
    <w:p w:rsidR="008527EE" w:rsidRDefault="008527EE" w:rsidP="008527EE">
      <w:pPr>
        <w:pStyle w:val="a6"/>
        <w:ind w:left="2160" w:hanging="240"/>
        <w:rPr>
          <w:rFonts w:hint="eastAsia"/>
        </w:rPr>
      </w:pPr>
      <w:r>
        <w:rPr>
          <w:rFonts w:hint="eastAsia"/>
        </w:rPr>
        <w:lastRenderedPageBreak/>
        <w:t>一、支領一次退休金者，自其支領之一次退休金扣減。</w:t>
      </w:r>
    </w:p>
    <w:p w:rsidR="008527EE" w:rsidRDefault="008527EE" w:rsidP="008527EE">
      <w:pPr>
        <w:pStyle w:val="a6"/>
        <w:ind w:left="2160" w:hanging="240"/>
        <w:rPr>
          <w:rFonts w:hint="eastAsia"/>
        </w:rPr>
      </w:pPr>
      <w:r>
        <w:rPr>
          <w:rFonts w:hint="eastAsia"/>
        </w:rPr>
        <w:t>二、支領月退休金者，按月照被分配比率扣減，</w:t>
      </w:r>
      <w:proofErr w:type="gramStart"/>
      <w:r>
        <w:rPr>
          <w:rFonts w:hint="eastAsia"/>
        </w:rPr>
        <w:t>至應被</w:t>
      </w:r>
      <w:proofErr w:type="gramEnd"/>
      <w:r>
        <w:rPr>
          <w:rFonts w:hint="eastAsia"/>
        </w:rPr>
        <w:t>分配之退休金總額扣減完畢後，不再扣減。</w:t>
      </w:r>
    </w:p>
    <w:p w:rsidR="008527EE" w:rsidRDefault="008527EE" w:rsidP="008527EE">
      <w:pPr>
        <w:pStyle w:val="a6"/>
        <w:ind w:left="2160" w:hanging="240"/>
        <w:rPr>
          <w:rFonts w:hint="eastAsia"/>
        </w:rPr>
      </w:pPr>
      <w:r>
        <w:rPr>
          <w:rFonts w:hint="eastAsia"/>
        </w:rPr>
        <w:t>三、兼領月退休金者，先</w:t>
      </w:r>
      <w:proofErr w:type="gramStart"/>
      <w:r>
        <w:rPr>
          <w:rFonts w:hint="eastAsia"/>
        </w:rPr>
        <w:t>自其兼領</w:t>
      </w:r>
      <w:proofErr w:type="gramEnd"/>
      <w:r>
        <w:rPr>
          <w:rFonts w:hint="eastAsia"/>
        </w:rPr>
        <w:t>一次退休金扣減；</w:t>
      </w:r>
      <w:proofErr w:type="gramStart"/>
      <w:r>
        <w:rPr>
          <w:rFonts w:hint="eastAsia"/>
        </w:rPr>
        <w:t>不足扣</w:t>
      </w:r>
      <w:proofErr w:type="gramEnd"/>
      <w:r>
        <w:rPr>
          <w:rFonts w:hint="eastAsia"/>
        </w:rPr>
        <w:t>減時，再自兼領之月退休金依前款規定按月扣減，</w:t>
      </w:r>
      <w:proofErr w:type="gramStart"/>
      <w:r>
        <w:rPr>
          <w:rFonts w:hint="eastAsia"/>
        </w:rPr>
        <w:t>至應被</w:t>
      </w:r>
      <w:proofErr w:type="gramEnd"/>
      <w:r>
        <w:rPr>
          <w:rFonts w:hint="eastAsia"/>
        </w:rPr>
        <w:t>分配之退休金總額扣減完畢後，不再扣減。</w:t>
      </w:r>
    </w:p>
    <w:p w:rsidR="008527EE" w:rsidRDefault="008527EE" w:rsidP="008527EE">
      <w:pPr>
        <w:pStyle w:val="a8"/>
        <w:ind w:left="1380" w:firstLine="480"/>
        <w:rPr>
          <w:rFonts w:hint="eastAsia"/>
        </w:rPr>
      </w:pPr>
      <w:r>
        <w:rPr>
          <w:rFonts w:hint="eastAsia"/>
        </w:rPr>
        <w:t>公務人員於本法公布施行後退休，於支領或兼領月退休金期間離婚者，其退休金依前條規定被分配時，依前二項規定辦理。</w:t>
      </w:r>
    </w:p>
    <w:p w:rsidR="008527EE" w:rsidRDefault="008527EE" w:rsidP="008527EE">
      <w:pPr>
        <w:pStyle w:val="a8"/>
        <w:ind w:left="1380" w:firstLine="480"/>
        <w:rPr>
          <w:rFonts w:hint="eastAsia"/>
        </w:rPr>
      </w:pPr>
      <w:r>
        <w:rPr>
          <w:rFonts w:hint="eastAsia"/>
        </w:rPr>
        <w:t>本條所定退休金之扣減、通知退休金審（核）定機關請求分配之方式及其他相關事項，於本法施行細則定之。</w:t>
      </w:r>
    </w:p>
    <w:p w:rsidR="008527EE" w:rsidRDefault="008527EE" w:rsidP="008527EE">
      <w:pPr>
        <w:pStyle w:val="a7"/>
        <w:ind w:left="1200" w:hanging="1200"/>
        <w:rPr>
          <w:rFonts w:hint="eastAsia"/>
        </w:rPr>
      </w:pPr>
      <w:r>
        <w:rPr>
          <w:rFonts w:hint="eastAsia"/>
        </w:rPr>
        <w:t>第八十四條　　公務人員之離婚配偶有第七十五條第一項所定情形者，喪失第八十二條所定分配該公務人員退休金權利。</w:t>
      </w: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200" w:hanging="1200"/>
        <w:rPr>
          <w:rFonts w:hint="eastAsia"/>
        </w:rPr>
      </w:pPr>
    </w:p>
    <w:p w:rsidR="008527EE" w:rsidRDefault="008527EE" w:rsidP="008527EE">
      <w:pPr>
        <w:pStyle w:val="a7"/>
        <w:ind w:left="1600" w:hanging="1600"/>
        <w:rPr>
          <w:rFonts w:ascii="標楷體" w:eastAsia="標楷體" w:hAnsi="標楷體" w:hint="eastAsia"/>
          <w:sz w:val="32"/>
          <w:szCs w:val="32"/>
          <w:shd w:val="pct15" w:color="auto" w:fill="FFFFFF"/>
        </w:rPr>
      </w:pPr>
      <w:r>
        <w:rPr>
          <w:rFonts w:ascii="標楷體" w:eastAsia="標楷體" w:hAnsi="標楷體" w:hint="eastAsia"/>
          <w:sz w:val="32"/>
          <w:szCs w:val="32"/>
          <w:shd w:val="pct15" w:color="auto" w:fill="FFFFFF"/>
        </w:rPr>
        <w:lastRenderedPageBreak/>
        <w:t>六</w:t>
      </w:r>
      <w:r w:rsidRPr="00671062">
        <w:rPr>
          <w:rFonts w:ascii="標楷體" w:eastAsia="標楷體" w:hAnsi="標楷體" w:hint="eastAsia"/>
          <w:sz w:val="32"/>
          <w:szCs w:val="32"/>
          <w:shd w:val="pct15" w:color="auto" w:fill="FFFFFF"/>
        </w:rPr>
        <w:t>、</w:t>
      </w:r>
      <w:r>
        <w:rPr>
          <w:rFonts w:ascii="標楷體" w:eastAsia="標楷體" w:hAnsi="標楷體" w:hint="eastAsia"/>
          <w:sz w:val="32"/>
          <w:szCs w:val="32"/>
          <w:shd w:val="pct15" w:color="auto" w:fill="FFFFFF"/>
        </w:rPr>
        <w:t>年資保留年資</w:t>
      </w:r>
      <w:proofErr w:type="gramStart"/>
      <w:r>
        <w:rPr>
          <w:rFonts w:ascii="標楷體" w:eastAsia="標楷體" w:hAnsi="標楷體" w:hint="eastAsia"/>
          <w:sz w:val="32"/>
          <w:szCs w:val="32"/>
          <w:shd w:val="pct15" w:color="auto" w:fill="FFFFFF"/>
        </w:rPr>
        <w:t>併</w:t>
      </w:r>
      <w:proofErr w:type="gramEnd"/>
      <w:r>
        <w:rPr>
          <w:rFonts w:ascii="標楷體" w:eastAsia="標楷體" w:hAnsi="標楷體" w:hint="eastAsia"/>
          <w:sz w:val="32"/>
          <w:szCs w:val="32"/>
          <w:shd w:val="pct15" w:color="auto" w:fill="FFFFFF"/>
        </w:rPr>
        <w:t>計</w:t>
      </w:r>
    </w:p>
    <w:p w:rsidR="008527EE" w:rsidRDefault="008527EE" w:rsidP="008527EE">
      <w:pPr>
        <w:pStyle w:val="a7"/>
        <w:ind w:left="1600" w:hanging="1600"/>
        <w:rPr>
          <w:rFonts w:ascii="標楷體" w:eastAsia="標楷體" w:hAnsi="標楷體" w:hint="eastAsia"/>
          <w:sz w:val="32"/>
          <w:szCs w:val="32"/>
          <w:shd w:val="pct15" w:color="auto" w:fill="FFFFFF"/>
        </w:rPr>
      </w:pPr>
      <w:bookmarkStart w:id="0" w:name="_GoBack"/>
      <w:bookmarkEnd w:id="0"/>
    </w:p>
    <w:p w:rsidR="008527EE" w:rsidRDefault="008527EE" w:rsidP="008527EE">
      <w:pPr>
        <w:kinsoku w:val="0"/>
        <w:overflowPunct w:val="0"/>
        <w:autoSpaceDE w:val="0"/>
        <w:snapToGrid w:val="0"/>
        <w:spacing w:line="500" w:lineRule="exact"/>
        <w:ind w:left="225" w:hangingChars="107" w:hanging="225"/>
        <w:jc w:val="both"/>
        <w:textAlignment w:val="center"/>
        <w:rPr>
          <w:rFonts w:ascii="華康細明體" w:eastAsia="華康細明體" w:hAnsi="標楷體"/>
          <w:kern w:val="0"/>
          <w:sz w:val="21"/>
          <w:szCs w:val="21"/>
        </w:rPr>
      </w:pPr>
      <w:r>
        <w:rPr>
          <w:rFonts w:ascii="華康細明體" w:eastAsia="華康細明體" w:hAnsi="標楷體" w:hint="eastAsia"/>
          <w:kern w:val="0"/>
          <w:sz w:val="21"/>
          <w:szCs w:val="21"/>
        </w:rPr>
        <w:t>第八十五條　公務人員任職滿五年，於本法公布施行後未</w:t>
      </w:r>
      <w:r>
        <w:rPr>
          <w:rFonts w:ascii="華康細明體" w:eastAsia="華康細明體" w:hAnsi="標楷體" w:hint="eastAsia"/>
          <w:color w:val="FF0000"/>
          <w:kern w:val="0"/>
          <w:sz w:val="21"/>
          <w:szCs w:val="21"/>
          <w:u w:val="single"/>
        </w:rPr>
        <w:t>辦理</w:t>
      </w:r>
      <w:r>
        <w:rPr>
          <w:rFonts w:ascii="華康細明體" w:eastAsia="華康細明體" w:hAnsi="標楷體" w:hint="eastAsia"/>
          <w:kern w:val="0"/>
          <w:sz w:val="21"/>
          <w:szCs w:val="21"/>
        </w:rPr>
        <w:t>退休或資遣而離職者，除本法另有規定外，其任職年資得予保留，</w:t>
      </w:r>
      <w:proofErr w:type="gramStart"/>
      <w:r>
        <w:rPr>
          <w:rFonts w:ascii="華康細明體" w:eastAsia="華康細明體" w:hAnsi="標楷體" w:hint="eastAsia"/>
          <w:kern w:val="0"/>
          <w:sz w:val="21"/>
          <w:szCs w:val="21"/>
        </w:rPr>
        <w:t>俟</w:t>
      </w:r>
      <w:proofErr w:type="gramEnd"/>
      <w:r>
        <w:rPr>
          <w:rFonts w:ascii="華康細明體" w:eastAsia="華康細明體" w:hAnsi="標楷體" w:hint="eastAsia"/>
          <w:kern w:val="0"/>
          <w:sz w:val="21"/>
          <w:szCs w:val="21"/>
        </w:rPr>
        <w:t>其年滿六十五歲之日起六個月內，以書面檢同相關證明文件，送原服務機關函轉審定機關依第三十條第一項及第二項規定審定其年資及退休金。</w:t>
      </w:r>
    </w:p>
    <w:p w:rsidR="008527EE" w:rsidRDefault="008527EE" w:rsidP="008527EE">
      <w:pPr>
        <w:kinsoku w:val="0"/>
        <w:overflowPunct w:val="0"/>
        <w:autoSpaceDE w:val="0"/>
        <w:snapToGrid w:val="0"/>
        <w:spacing w:line="500" w:lineRule="exact"/>
        <w:ind w:leftChars="94" w:left="226"/>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前項人員支領之退休金，依第二十七條第二項及第二十九條規定計算。支領月退休金者，其每月退休所得應依第三十八條及第三十九條規定辦理。</w:t>
      </w:r>
    </w:p>
    <w:p w:rsidR="008527EE" w:rsidRDefault="008527EE" w:rsidP="008527EE">
      <w:pPr>
        <w:kinsoku w:val="0"/>
        <w:overflowPunct w:val="0"/>
        <w:autoSpaceDE w:val="0"/>
        <w:snapToGrid w:val="0"/>
        <w:spacing w:line="500" w:lineRule="exact"/>
        <w:ind w:leftChars="94" w:left="226"/>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第一項人員於</w:t>
      </w:r>
      <w:r>
        <w:rPr>
          <w:rFonts w:ascii="華康細明體" w:eastAsia="華康細明體" w:hAnsi="標楷體" w:hint="eastAsia"/>
          <w:color w:val="FF0000"/>
          <w:kern w:val="0"/>
          <w:sz w:val="21"/>
          <w:szCs w:val="21"/>
          <w:u w:val="single"/>
        </w:rPr>
        <w:t>尚未支領本條所定退休金之前</w:t>
      </w:r>
      <w:r>
        <w:rPr>
          <w:rFonts w:ascii="華康細明體" w:eastAsia="華康細明體" w:hAnsi="標楷體" w:hint="eastAsia"/>
          <w:kern w:val="0"/>
          <w:sz w:val="21"/>
          <w:szCs w:val="21"/>
        </w:rPr>
        <w:t>死亡者，得由其第四十三條所定遺族，依第九條規定申請發還其本人原繳付之退撫基金費用本息。</w:t>
      </w:r>
    </w:p>
    <w:p w:rsidR="008527EE" w:rsidRDefault="008527EE" w:rsidP="008527EE">
      <w:pPr>
        <w:kinsoku w:val="0"/>
        <w:overflowPunct w:val="0"/>
        <w:autoSpaceDE w:val="0"/>
        <w:snapToGrid w:val="0"/>
        <w:spacing w:line="500" w:lineRule="exact"/>
        <w:ind w:leftChars="94" w:left="226"/>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第一項人員有下列情形之</w:t>
      </w:r>
      <w:proofErr w:type="gramStart"/>
      <w:r>
        <w:rPr>
          <w:rFonts w:ascii="華康細明體" w:eastAsia="華康細明體" w:hAnsi="標楷體" w:hint="eastAsia"/>
          <w:kern w:val="0"/>
          <w:sz w:val="21"/>
          <w:szCs w:val="21"/>
        </w:rPr>
        <w:t>一</w:t>
      </w:r>
      <w:proofErr w:type="gramEnd"/>
      <w:r>
        <w:rPr>
          <w:rFonts w:ascii="華康細明體" w:eastAsia="華康細明體" w:hAnsi="標楷體" w:hint="eastAsia"/>
          <w:kern w:val="0"/>
          <w:sz w:val="21"/>
          <w:szCs w:val="21"/>
        </w:rPr>
        <w:t>者，不適用第一項及第二項規定：</w:t>
      </w:r>
    </w:p>
    <w:p w:rsidR="008527EE" w:rsidRDefault="008527EE" w:rsidP="008527EE">
      <w:pPr>
        <w:kinsoku w:val="0"/>
        <w:overflowPunct w:val="0"/>
        <w:autoSpaceDE w:val="0"/>
        <w:snapToGrid w:val="0"/>
        <w:spacing w:line="500" w:lineRule="exact"/>
        <w:ind w:leftChars="94" w:left="495" w:hangingChars="128" w:hanging="269"/>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一、依法被撤職、免職、免除職務。</w:t>
      </w:r>
    </w:p>
    <w:p w:rsidR="008527EE" w:rsidRDefault="008527EE" w:rsidP="008527EE">
      <w:pPr>
        <w:kinsoku w:val="0"/>
        <w:overflowPunct w:val="0"/>
        <w:autoSpaceDE w:val="0"/>
        <w:snapToGrid w:val="0"/>
        <w:spacing w:line="500" w:lineRule="exact"/>
        <w:ind w:leftChars="94" w:left="495" w:hangingChars="128" w:hanging="269"/>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二、第一項所定六個月辦理期限屆滿時，有第七十五條所定喪失辦理退休權利之法定事由。</w:t>
      </w:r>
    </w:p>
    <w:p w:rsidR="008527EE" w:rsidRDefault="008527EE" w:rsidP="008527EE">
      <w:pPr>
        <w:kinsoku w:val="0"/>
        <w:overflowPunct w:val="0"/>
        <w:autoSpaceDE w:val="0"/>
        <w:snapToGrid w:val="0"/>
        <w:spacing w:line="500" w:lineRule="exact"/>
        <w:ind w:leftChars="94" w:left="495" w:hangingChars="128" w:hanging="269"/>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三、第一項所定六個月辦理期限屆滿時，有第二十四條第一項所定不得受理退休案之情事。</w:t>
      </w:r>
    </w:p>
    <w:p w:rsidR="008527EE" w:rsidRDefault="008527EE" w:rsidP="008527EE">
      <w:pPr>
        <w:spacing w:line="500" w:lineRule="exact"/>
        <w:rPr>
          <w:rFonts w:ascii="標楷體" w:eastAsia="標楷體" w:hAnsi="標楷體" w:hint="eastAsia"/>
          <w:sz w:val="28"/>
          <w:szCs w:val="28"/>
        </w:rPr>
      </w:pPr>
      <w:r>
        <w:rPr>
          <w:rFonts w:ascii="華康細明體" w:eastAsia="華康細明體" w:hAnsi="標楷體" w:hint="eastAsia"/>
          <w:kern w:val="0"/>
          <w:sz w:val="21"/>
          <w:szCs w:val="21"/>
        </w:rPr>
        <w:t xml:space="preserve">　四、所具公務人員年資業依第八十六條第二項規定辦理。</w:t>
      </w:r>
    </w:p>
    <w:p w:rsidR="008527EE" w:rsidRDefault="008527EE" w:rsidP="008527EE">
      <w:pPr>
        <w:kinsoku w:val="0"/>
        <w:overflowPunct w:val="0"/>
        <w:autoSpaceDE w:val="0"/>
        <w:snapToGrid w:val="0"/>
        <w:spacing w:line="500" w:lineRule="exact"/>
        <w:ind w:left="210" w:hangingChars="100" w:hanging="210"/>
        <w:jc w:val="both"/>
        <w:textAlignment w:val="center"/>
        <w:rPr>
          <w:rFonts w:ascii="華康細明體" w:eastAsia="華康細明體" w:hAnsi="標楷體" w:hint="eastAsia"/>
          <w:kern w:val="0"/>
          <w:sz w:val="21"/>
          <w:szCs w:val="21"/>
        </w:rPr>
      </w:pPr>
    </w:p>
    <w:p w:rsidR="008527EE" w:rsidRDefault="008527EE" w:rsidP="008527EE">
      <w:pPr>
        <w:kinsoku w:val="0"/>
        <w:overflowPunct w:val="0"/>
        <w:autoSpaceDE w:val="0"/>
        <w:snapToGrid w:val="0"/>
        <w:spacing w:line="500" w:lineRule="exact"/>
        <w:ind w:left="210" w:hangingChars="100" w:hanging="210"/>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第八十六條　公務人員依本法</w:t>
      </w:r>
      <w:proofErr w:type="gramStart"/>
      <w:r>
        <w:rPr>
          <w:rFonts w:ascii="華康細明體" w:eastAsia="華康細明體" w:hAnsi="標楷體" w:hint="eastAsia"/>
          <w:kern w:val="0"/>
          <w:sz w:val="21"/>
          <w:szCs w:val="21"/>
        </w:rPr>
        <w:t>辦理屆齡或</w:t>
      </w:r>
      <w:proofErr w:type="gramEnd"/>
      <w:r>
        <w:rPr>
          <w:rFonts w:ascii="華康細明體" w:eastAsia="華康細明體" w:hAnsi="標楷體" w:hint="eastAsia"/>
          <w:kern w:val="0"/>
          <w:sz w:val="21"/>
          <w:szCs w:val="21"/>
        </w:rPr>
        <w:t>命令退休且任職年資未滿十五年者，得</w:t>
      </w:r>
      <w:proofErr w:type="gramStart"/>
      <w:r>
        <w:rPr>
          <w:rFonts w:ascii="華康細明體" w:eastAsia="華康細明體" w:hAnsi="標楷體" w:hint="eastAsia"/>
          <w:kern w:val="0"/>
          <w:sz w:val="21"/>
          <w:szCs w:val="21"/>
        </w:rPr>
        <w:t>併計曾</w:t>
      </w:r>
      <w:proofErr w:type="gramEnd"/>
      <w:r>
        <w:rPr>
          <w:rFonts w:ascii="華康細明體" w:eastAsia="華康細明體" w:hAnsi="標楷體" w:hint="eastAsia"/>
          <w:kern w:val="0"/>
          <w:sz w:val="21"/>
          <w:szCs w:val="21"/>
        </w:rPr>
        <w:t>任適用</w:t>
      </w:r>
      <w:proofErr w:type="gramStart"/>
      <w:r>
        <w:rPr>
          <w:rFonts w:ascii="華康細明體" w:eastAsia="華康細明體" w:hAnsi="標楷體" w:hint="eastAsia"/>
          <w:kern w:val="0"/>
          <w:sz w:val="21"/>
          <w:szCs w:val="21"/>
        </w:rPr>
        <w:t>其他職域職業</w:t>
      </w:r>
      <w:proofErr w:type="gramEnd"/>
      <w:r>
        <w:rPr>
          <w:rFonts w:ascii="華康細明體" w:eastAsia="華康細明體" w:hAnsi="標楷體" w:hint="eastAsia"/>
          <w:kern w:val="0"/>
          <w:sz w:val="21"/>
          <w:szCs w:val="21"/>
        </w:rPr>
        <w:t>退休金法令且未曾辦理退休（職、伍）、資遣或年資結算已領取退離給與之年資，成就請領月退休金條件。</w:t>
      </w:r>
    </w:p>
    <w:p w:rsidR="008527EE" w:rsidRDefault="008527EE" w:rsidP="008527EE">
      <w:pPr>
        <w:kinsoku w:val="0"/>
        <w:overflowPunct w:val="0"/>
        <w:autoSpaceDE w:val="0"/>
        <w:snapToGrid w:val="0"/>
        <w:spacing w:line="500" w:lineRule="exact"/>
        <w:ind w:leftChars="82" w:left="197"/>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公務人員任職滿五年，於本法公布施行後</w:t>
      </w:r>
      <w:r>
        <w:rPr>
          <w:rFonts w:ascii="華康細明體" w:eastAsia="華康細明體" w:hAnsi="標楷體" w:hint="eastAsia"/>
          <w:color w:val="FF0000"/>
          <w:kern w:val="0"/>
          <w:sz w:val="21"/>
          <w:szCs w:val="21"/>
          <w:u w:val="single"/>
        </w:rPr>
        <w:t>未辦理</w:t>
      </w:r>
      <w:r>
        <w:rPr>
          <w:rFonts w:ascii="華康細明體" w:eastAsia="華康細明體" w:hAnsi="標楷體" w:hint="eastAsia"/>
          <w:kern w:val="0"/>
          <w:sz w:val="21"/>
          <w:szCs w:val="21"/>
        </w:rPr>
        <w:t>退休或資遣而離職且未支領退撫給與者，</w:t>
      </w:r>
      <w:proofErr w:type="gramStart"/>
      <w:r>
        <w:rPr>
          <w:rFonts w:ascii="華康細明體" w:eastAsia="華康細明體" w:hAnsi="標楷體" w:hint="eastAsia"/>
          <w:kern w:val="0"/>
          <w:sz w:val="21"/>
          <w:szCs w:val="21"/>
        </w:rPr>
        <w:t>於轉任其他職域工作</w:t>
      </w:r>
      <w:proofErr w:type="gramEnd"/>
      <w:r>
        <w:rPr>
          <w:rFonts w:ascii="華康細明體" w:eastAsia="華康細明體" w:hAnsi="標楷體" w:hint="eastAsia"/>
          <w:kern w:val="0"/>
          <w:sz w:val="21"/>
          <w:szCs w:val="21"/>
        </w:rPr>
        <w:t>後辦理退休(職)時，得</w:t>
      </w:r>
      <w:proofErr w:type="gramStart"/>
      <w:r>
        <w:rPr>
          <w:rFonts w:ascii="華康細明體" w:eastAsia="華康細明體" w:hAnsi="標楷體" w:hint="eastAsia"/>
          <w:kern w:val="0"/>
          <w:sz w:val="21"/>
          <w:szCs w:val="21"/>
        </w:rPr>
        <w:t>併計原</w:t>
      </w:r>
      <w:proofErr w:type="gramEnd"/>
      <w:r>
        <w:rPr>
          <w:rFonts w:ascii="華康細明體" w:eastAsia="華康細明體" w:hAnsi="標楷體" w:hint="eastAsia"/>
          <w:kern w:val="0"/>
          <w:sz w:val="21"/>
          <w:szCs w:val="21"/>
        </w:rPr>
        <w:t>公務人員年資成就請領月退休金條件，並於年滿六十五歲之日起六個月內，以書面檢同相關證明文件，送原服務機關函轉審定機關審定其年資及月退休金。</w:t>
      </w:r>
    </w:p>
    <w:p w:rsidR="008527EE" w:rsidRDefault="008527EE" w:rsidP="008527EE">
      <w:pPr>
        <w:kinsoku w:val="0"/>
        <w:overflowPunct w:val="0"/>
        <w:autoSpaceDE w:val="0"/>
        <w:snapToGrid w:val="0"/>
        <w:spacing w:line="500" w:lineRule="exact"/>
        <w:ind w:leftChars="82" w:left="197"/>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前項人員支領之月退休金，依第二十七條第二項及第二十九條規定計算。其每月退休所得應依第三十八條及第三十九條規定辦理。</w:t>
      </w:r>
    </w:p>
    <w:p w:rsidR="008527EE" w:rsidRDefault="008527EE" w:rsidP="008527EE">
      <w:pPr>
        <w:kinsoku w:val="0"/>
        <w:overflowPunct w:val="0"/>
        <w:autoSpaceDE w:val="0"/>
        <w:snapToGrid w:val="0"/>
        <w:spacing w:line="500" w:lineRule="exact"/>
        <w:ind w:leftChars="82" w:left="197"/>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第二項人員有下列情形之</w:t>
      </w:r>
      <w:proofErr w:type="gramStart"/>
      <w:r>
        <w:rPr>
          <w:rFonts w:ascii="華康細明體" w:eastAsia="華康細明體" w:hAnsi="標楷體" w:hint="eastAsia"/>
          <w:kern w:val="0"/>
          <w:sz w:val="21"/>
          <w:szCs w:val="21"/>
        </w:rPr>
        <w:t>一</w:t>
      </w:r>
      <w:proofErr w:type="gramEnd"/>
      <w:r>
        <w:rPr>
          <w:rFonts w:ascii="華康細明體" w:eastAsia="華康細明體" w:hAnsi="標楷體" w:hint="eastAsia"/>
          <w:kern w:val="0"/>
          <w:sz w:val="21"/>
          <w:szCs w:val="21"/>
        </w:rPr>
        <w:t>者，不適用第二項規定：</w:t>
      </w:r>
    </w:p>
    <w:p w:rsidR="008527EE" w:rsidRDefault="008527EE" w:rsidP="008527EE">
      <w:pPr>
        <w:kinsoku w:val="0"/>
        <w:overflowPunct w:val="0"/>
        <w:autoSpaceDE w:val="0"/>
        <w:snapToGrid w:val="0"/>
        <w:spacing w:line="500" w:lineRule="exact"/>
        <w:ind w:leftChars="94" w:left="449" w:hangingChars="106" w:hanging="223"/>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一、依法被撤職、免職</w:t>
      </w:r>
      <w:r>
        <w:rPr>
          <w:rFonts w:ascii="華康細明體" w:eastAsia="華康細明體" w:hAnsi="標楷體" w:hint="eastAsia"/>
          <w:color w:val="FF0000"/>
          <w:kern w:val="0"/>
          <w:sz w:val="21"/>
          <w:szCs w:val="21"/>
          <w:u w:val="single"/>
        </w:rPr>
        <w:t>或</w:t>
      </w:r>
      <w:r>
        <w:rPr>
          <w:rFonts w:ascii="華康細明體" w:eastAsia="華康細明體" w:hAnsi="標楷體" w:hint="eastAsia"/>
          <w:kern w:val="0"/>
          <w:sz w:val="21"/>
          <w:szCs w:val="21"/>
        </w:rPr>
        <w:t>免除職務。</w:t>
      </w:r>
    </w:p>
    <w:p w:rsidR="008527EE" w:rsidRDefault="008527EE" w:rsidP="008527EE">
      <w:pPr>
        <w:kinsoku w:val="0"/>
        <w:overflowPunct w:val="0"/>
        <w:autoSpaceDE w:val="0"/>
        <w:snapToGrid w:val="0"/>
        <w:spacing w:line="500" w:lineRule="exact"/>
        <w:ind w:leftChars="94" w:left="449" w:hangingChars="106" w:hanging="223"/>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二、第二項所定六個月辦理期限屆滿時，有第七十五條所定喪失辦理退休權利之法定事由。</w:t>
      </w:r>
    </w:p>
    <w:p w:rsidR="008527EE" w:rsidRDefault="008527EE" w:rsidP="008527EE">
      <w:pPr>
        <w:kinsoku w:val="0"/>
        <w:overflowPunct w:val="0"/>
        <w:autoSpaceDE w:val="0"/>
        <w:snapToGrid w:val="0"/>
        <w:spacing w:line="500" w:lineRule="exact"/>
        <w:ind w:leftChars="94" w:left="449" w:hangingChars="106" w:hanging="223"/>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三、第二項所定六個月辦理期限屆滿時，有第二十四條第一項所定不得受理退休案之情事。</w:t>
      </w:r>
    </w:p>
    <w:p w:rsidR="008527EE" w:rsidRDefault="008527EE" w:rsidP="008527EE">
      <w:pPr>
        <w:kinsoku w:val="0"/>
        <w:overflowPunct w:val="0"/>
        <w:autoSpaceDE w:val="0"/>
        <w:snapToGrid w:val="0"/>
        <w:spacing w:line="500" w:lineRule="exact"/>
        <w:ind w:leftChars="82" w:left="197"/>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lastRenderedPageBreak/>
        <w:t xml:space="preserve">　　第二項人員於</w:t>
      </w:r>
      <w:r>
        <w:rPr>
          <w:rFonts w:ascii="華康細明體" w:eastAsia="華康細明體" w:hAnsi="標楷體" w:hint="eastAsia"/>
          <w:color w:val="FF0000"/>
          <w:kern w:val="0"/>
          <w:sz w:val="21"/>
          <w:szCs w:val="21"/>
          <w:u w:val="single"/>
        </w:rPr>
        <w:t>尚未支領本條所定退休金之前</w:t>
      </w:r>
      <w:r>
        <w:rPr>
          <w:rFonts w:ascii="華康細明體" w:eastAsia="華康細明體" w:hAnsi="標楷體" w:hint="eastAsia"/>
          <w:kern w:val="0"/>
          <w:sz w:val="21"/>
          <w:szCs w:val="21"/>
        </w:rPr>
        <w:t>死亡者，得由其第四十三條所定遺族，依第九條規定申請發還其本人原繳付之退撫基金費用本息。</w:t>
      </w:r>
    </w:p>
    <w:p w:rsidR="008527EE" w:rsidRDefault="008527EE" w:rsidP="008527EE">
      <w:pPr>
        <w:kinsoku w:val="0"/>
        <w:overflowPunct w:val="0"/>
        <w:autoSpaceDE w:val="0"/>
        <w:snapToGrid w:val="0"/>
        <w:spacing w:line="500" w:lineRule="exact"/>
        <w:ind w:leftChars="82" w:left="197"/>
        <w:jc w:val="both"/>
        <w:textAlignment w:val="center"/>
        <w:rPr>
          <w:rFonts w:ascii="華康細明體" w:eastAsia="華康細明體" w:hAnsi="標楷體" w:hint="eastAsia"/>
          <w:kern w:val="0"/>
          <w:sz w:val="21"/>
          <w:szCs w:val="21"/>
        </w:rPr>
      </w:pPr>
      <w:r>
        <w:rPr>
          <w:rFonts w:ascii="華康細明體" w:eastAsia="華康細明體" w:hAnsi="標楷體" w:hint="eastAsia"/>
          <w:kern w:val="0"/>
          <w:sz w:val="21"/>
          <w:szCs w:val="21"/>
        </w:rPr>
        <w:t xml:space="preserve">　　前條及第二項人員於月退休金支領期間死亡者，其遺族不適用</w:t>
      </w:r>
      <w:proofErr w:type="gramStart"/>
      <w:r>
        <w:rPr>
          <w:rFonts w:ascii="華康細明體" w:eastAsia="華康細明體" w:hAnsi="標楷體" w:hint="eastAsia"/>
          <w:kern w:val="0"/>
          <w:sz w:val="21"/>
          <w:szCs w:val="21"/>
        </w:rPr>
        <w:t>本法遺屬年金或遺屬</w:t>
      </w:r>
      <w:proofErr w:type="gramEnd"/>
      <w:r>
        <w:rPr>
          <w:rFonts w:ascii="華康細明體" w:eastAsia="華康細明體" w:hAnsi="標楷體" w:hint="eastAsia"/>
          <w:kern w:val="0"/>
          <w:sz w:val="21"/>
          <w:szCs w:val="21"/>
        </w:rPr>
        <w:t>一次金之規定。</w:t>
      </w:r>
    </w:p>
    <w:p w:rsidR="008527EE" w:rsidRDefault="008527EE" w:rsidP="008527EE">
      <w:pPr>
        <w:tabs>
          <w:tab w:val="left" w:pos="2520"/>
        </w:tabs>
        <w:kinsoku w:val="0"/>
        <w:overflowPunct w:val="0"/>
        <w:autoSpaceDE w:val="0"/>
        <w:snapToGrid w:val="0"/>
        <w:spacing w:line="500" w:lineRule="exact"/>
        <w:ind w:rightChars="50" w:right="120"/>
        <w:jc w:val="both"/>
        <w:textAlignment w:val="center"/>
        <w:rPr>
          <w:rFonts w:ascii="華康細明體" w:eastAsia="華康細明體" w:hint="eastAsia"/>
          <w:kern w:val="0"/>
          <w:sz w:val="21"/>
          <w:szCs w:val="21"/>
        </w:rPr>
      </w:pPr>
      <w:r>
        <w:rPr>
          <w:rFonts w:ascii="華康細明體" w:eastAsia="華康細明體" w:hint="eastAsia"/>
          <w:kern w:val="0"/>
          <w:sz w:val="21"/>
          <w:szCs w:val="21"/>
        </w:rPr>
        <w:t>第八十七條　依前二條規定支領退休金者，亦適用第七十九條及第八十條規定。</w:t>
      </w:r>
    </w:p>
    <w:p w:rsidR="008527EE" w:rsidRDefault="008527EE" w:rsidP="008527EE">
      <w:pPr>
        <w:kinsoku w:val="0"/>
        <w:overflowPunct w:val="0"/>
        <w:autoSpaceDE w:val="0"/>
        <w:snapToGrid w:val="0"/>
        <w:spacing w:line="500" w:lineRule="exact"/>
        <w:ind w:leftChars="82" w:left="197"/>
        <w:jc w:val="both"/>
        <w:textAlignment w:val="center"/>
        <w:rPr>
          <w:rFonts w:ascii="華康細明體" w:eastAsia="華康細明體" w:hint="eastAsia"/>
          <w:kern w:val="0"/>
          <w:sz w:val="21"/>
          <w:szCs w:val="21"/>
        </w:rPr>
      </w:pPr>
      <w:r>
        <w:rPr>
          <w:rFonts w:ascii="華康細明體" w:eastAsia="華康細明體" w:hint="eastAsia"/>
          <w:kern w:val="0"/>
          <w:sz w:val="21"/>
          <w:szCs w:val="21"/>
        </w:rPr>
        <w:t xml:space="preserve">  　依前二條規定支領月退休金者，於支領月退休金</w:t>
      </w:r>
      <w:proofErr w:type="gramStart"/>
      <w:r>
        <w:rPr>
          <w:rFonts w:ascii="華康細明體" w:eastAsia="華康細明體" w:hint="eastAsia"/>
          <w:kern w:val="0"/>
          <w:sz w:val="21"/>
          <w:szCs w:val="21"/>
        </w:rPr>
        <w:t>期間，</w:t>
      </w:r>
      <w:proofErr w:type="gramEnd"/>
      <w:r>
        <w:rPr>
          <w:rFonts w:ascii="華康細明體" w:eastAsia="華康細明體" w:hint="eastAsia"/>
          <w:kern w:val="0"/>
          <w:sz w:val="21"/>
          <w:szCs w:val="21"/>
        </w:rPr>
        <w:t>亦適用第七十一條、第七十二條及第七十六條至第七十八條規定。</w:t>
      </w:r>
    </w:p>
    <w:p w:rsidR="008527EE" w:rsidRPr="008527EE" w:rsidRDefault="008527EE" w:rsidP="008527EE">
      <w:pPr>
        <w:pStyle w:val="a7"/>
        <w:ind w:left="1200" w:hanging="1200"/>
        <w:rPr>
          <w:rFonts w:hint="eastAsia"/>
        </w:rPr>
      </w:pPr>
    </w:p>
    <w:p w:rsidR="008527EE" w:rsidRDefault="008527EE">
      <w:pPr>
        <w:widowControl/>
        <w:rPr>
          <w:rFonts w:ascii="標楷體" w:eastAsia="標楷體" w:hAnsi="標楷體"/>
          <w:sz w:val="32"/>
          <w:szCs w:val="32"/>
          <w:shd w:val="pct15" w:color="auto" w:fill="FFFFFF"/>
        </w:rPr>
      </w:pPr>
    </w:p>
    <w:p w:rsidR="008527EE" w:rsidRDefault="008527EE">
      <w:pPr>
        <w:widowControl/>
        <w:rPr>
          <w:rFonts w:ascii="標楷體" w:eastAsia="標楷體" w:hAnsi="標楷體"/>
          <w:sz w:val="32"/>
          <w:szCs w:val="32"/>
          <w:shd w:val="pct15" w:color="auto" w:fill="FFFFFF"/>
        </w:rPr>
      </w:pPr>
    </w:p>
    <w:p w:rsidR="008527EE" w:rsidRPr="008527EE" w:rsidRDefault="008527EE" w:rsidP="008527EE">
      <w:pPr>
        <w:widowControl/>
        <w:rPr>
          <w:rFonts w:ascii="標楷體" w:eastAsia="標楷體" w:hAnsi="標楷體" w:hint="eastAsia"/>
          <w:sz w:val="32"/>
          <w:szCs w:val="32"/>
          <w:shd w:val="pct15" w:color="auto" w:fill="FFFFFF"/>
        </w:rPr>
      </w:pPr>
    </w:p>
    <w:p w:rsidR="006045BE" w:rsidRPr="008527EE" w:rsidRDefault="006045BE" w:rsidP="00A520D9"/>
    <w:sectPr w:rsidR="006045BE" w:rsidRPr="008527EE" w:rsidSect="008527EE">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CA" w:rsidRDefault="009463CA">
      <w:r>
        <w:separator/>
      </w:r>
    </w:p>
  </w:endnote>
  <w:endnote w:type="continuationSeparator" w:id="0">
    <w:p w:rsidR="009463CA" w:rsidRDefault="0094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06081"/>
      <w:docPartObj>
        <w:docPartGallery w:val="Page Numbers (Bottom of Page)"/>
        <w:docPartUnique/>
      </w:docPartObj>
    </w:sdtPr>
    <w:sdtEndPr/>
    <w:sdtContent>
      <w:p w:rsidR="00BC2C48" w:rsidRDefault="007F5D4F">
        <w:pPr>
          <w:pStyle w:val="a3"/>
          <w:jc w:val="center"/>
        </w:pPr>
        <w:r>
          <w:fldChar w:fldCharType="begin"/>
        </w:r>
        <w:r>
          <w:instrText>PAGE   \* MERGEFORMAT</w:instrText>
        </w:r>
        <w:r>
          <w:fldChar w:fldCharType="separate"/>
        </w:r>
        <w:r w:rsidR="008527EE" w:rsidRPr="008527EE">
          <w:rPr>
            <w:noProof/>
            <w:lang w:val="zh-TW"/>
          </w:rPr>
          <w:t>16</w:t>
        </w:r>
        <w:r>
          <w:fldChar w:fldCharType="end"/>
        </w:r>
      </w:p>
    </w:sdtContent>
  </w:sdt>
  <w:p w:rsidR="00BC2C48" w:rsidRDefault="008527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1E" w:rsidRDefault="00F6571E">
    <w:pPr>
      <w:pStyle w:val="a3"/>
      <w:jc w:val="center"/>
    </w:pPr>
  </w:p>
  <w:p w:rsidR="00F6571E" w:rsidRDefault="00F657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09611"/>
      <w:docPartObj>
        <w:docPartGallery w:val="Page Numbers (Bottom of Page)"/>
        <w:docPartUnique/>
      </w:docPartObj>
    </w:sdtPr>
    <w:sdtContent>
      <w:p w:rsidR="00F6571E" w:rsidRDefault="00F6571E">
        <w:pPr>
          <w:pStyle w:val="a3"/>
          <w:jc w:val="center"/>
        </w:pPr>
        <w:r>
          <w:fldChar w:fldCharType="begin"/>
        </w:r>
        <w:r>
          <w:instrText>PAGE   \* MERGEFORMAT</w:instrText>
        </w:r>
        <w:r>
          <w:fldChar w:fldCharType="separate"/>
        </w:r>
        <w:r w:rsidR="008527EE" w:rsidRPr="008527EE">
          <w:rPr>
            <w:noProof/>
            <w:lang w:val="zh-TW"/>
          </w:rPr>
          <w:t>1</w:t>
        </w:r>
        <w:r>
          <w:fldChar w:fldCharType="end"/>
        </w:r>
      </w:p>
    </w:sdtContent>
  </w:sdt>
  <w:p w:rsidR="00F6571E" w:rsidRDefault="00F657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CA" w:rsidRDefault="009463CA">
      <w:r>
        <w:separator/>
      </w:r>
    </w:p>
  </w:footnote>
  <w:footnote w:type="continuationSeparator" w:id="0">
    <w:p w:rsidR="009463CA" w:rsidRDefault="0094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F5681"/>
    <w:multiLevelType w:val="hybridMultilevel"/>
    <w:tmpl w:val="A30CA812"/>
    <w:lvl w:ilvl="0" w:tplc="2430B41A">
      <w:start w:val="1"/>
      <w:numFmt w:val="taiwaneseCountingThousand"/>
      <w:lvlText w:val="%1、"/>
      <w:lvlJc w:val="left"/>
      <w:pPr>
        <w:ind w:left="72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4F"/>
    <w:rsid w:val="005F49E4"/>
    <w:rsid w:val="006045BE"/>
    <w:rsid w:val="00671062"/>
    <w:rsid w:val="006E1B8D"/>
    <w:rsid w:val="007D0EAB"/>
    <w:rsid w:val="007F5D4F"/>
    <w:rsid w:val="008527EE"/>
    <w:rsid w:val="008806B9"/>
    <w:rsid w:val="009463CA"/>
    <w:rsid w:val="00A520D9"/>
    <w:rsid w:val="00B00BA6"/>
    <w:rsid w:val="00B25AAB"/>
    <w:rsid w:val="00F15585"/>
    <w:rsid w:val="00F6571E"/>
    <w:rsid w:val="00FD3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4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5D4F"/>
    <w:pPr>
      <w:tabs>
        <w:tab w:val="center" w:pos="4153"/>
        <w:tab w:val="right" w:pos="8306"/>
      </w:tabs>
      <w:snapToGrid w:val="0"/>
    </w:pPr>
    <w:rPr>
      <w:sz w:val="20"/>
      <w:szCs w:val="20"/>
    </w:rPr>
  </w:style>
  <w:style w:type="character" w:customStyle="1" w:styleId="a4">
    <w:name w:val="頁尾 字元"/>
    <w:basedOn w:val="a0"/>
    <w:link w:val="a3"/>
    <w:uiPriority w:val="99"/>
    <w:rsid w:val="007F5D4F"/>
    <w:rPr>
      <w:rFonts w:ascii="Times New Roman" w:eastAsia="新細明體" w:hAnsi="Times New Roman" w:cs="Times New Roman"/>
      <w:sz w:val="20"/>
      <w:szCs w:val="20"/>
    </w:rPr>
  </w:style>
  <w:style w:type="paragraph" w:styleId="a5">
    <w:name w:val="List Paragraph"/>
    <w:basedOn w:val="a"/>
    <w:uiPriority w:val="34"/>
    <w:qFormat/>
    <w:rsid w:val="007F5D4F"/>
    <w:pPr>
      <w:ind w:leftChars="200" w:left="480"/>
    </w:pPr>
  </w:style>
  <w:style w:type="paragraph" w:customStyle="1" w:styleId="a6">
    <w:name w:val="款"/>
    <w:basedOn w:val="a"/>
    <w:rsid w:val="00671062"/>
    <w:pPr>
      <w:kinsoku w:val="0"/>
      <w:overflowPunct w:val="0"/>
      <w:spacing w:line="500" w:lineRule="exact"/>
      <w:ind w:leftChars="800" w:left="900" w:hangingChars="100" w:hanging="100"/>
      <w:jc w:val="both"/>
      <w:textAlignment w:val="center"/>
    </w:pPr>
    <w:rPr>
      <w:rFonts w:eastAsia="華康細明體"/>
      <w:bCs/>
    </w:rPr>
  </w:style>
  <w:style w:type="paragraph" w:customStyle="1" w:styleId="a7">
    <w:name w:val="條"/>
    <w:basedOn w:val="a"/>
    <w:rsid w:val="00671062"/>
    <w:pPr>
      <w:kinsoku w:val="0"/>
      <w:overflowPunct w:val="0"/>
      <w:spacing w:line="500" w:lineRule="exact"/>
      <w:ind w:left="500" w:hangingChars="500" w:hanging="500"/>
      <w:jc w:val="both"/>
      <w:textAlignment w:val="center"/>
    </w:pPr>
    <w:rPr>
      <w:rFonts w:eastAsia="華康細明體"/>
      <w:bCs/>
    </w:rPr>
  </w:style>
  <w:style w:type="paragraph" w:customStyle="1" w:styleId="a8">
    <w:name w:val="條文內文"/>
    <w:basedOn w:val="a"/>
    <w:next w:val="a"/>
    <w:rsid w:val="00671062"/>
    <w:pPr>
      <w:kinsoku w:val="0"/>
      <w:overflowPunct w:val="0"/>
      <w:spacing w:line="500" w:lineRule="exact"/>
      <w:ind w:leftChars="575" w:left="575" w:firstLineChars="200" w:firstLine="200"/>
      <w:jc w:val="both"/>
      <w:textAlignment w:val="center"/>
    </w:pPr>
    <w:rPr>
      <w:rFonts w:eastAsia="華康細明體"/>
    </w:rPr>
  </w:style>
  <w:style w:type="paragraph" w:styleId="a9">
    <w:name w:val="No Spacing"/>
    <w:link w:val="aa"/>
    <w:uiPriority w:val="1"/>
    <w:qFormat/>
    <w:rsid w:val="00671062"/>
    <w:rPr>
      <w:kern w:val="0"/>
      <w:sz w:val="22"/>
    </w:rPr>
  </w:style>
  <w:style w:type="character" w:customStyle="1" w:styleId="aa">
    <w:name w:val="無間距 字元"/>
    <w:basedOn w:val="a0"/>
    <w:link w:val="a9"/>
    <w:uiPriority w:val="1"/>
    <w:rsid w:val="00671062"/>
    <w:rPr>
      <w:kern w:val="0"/>
      <w:sz w:val="22"/>
    </w:rPr>
  </w:style>
  <w:style w:type="paragraph" w:styleId="ab">
    <w:name w:val="Balloon Text"/>
    <w:basedOn w:val="a"/>
    <w:link w:val="ac"/>
    <w:uiPriority w:val="99"/>
    <w:semiHidden/>
    <w:unhideWhenUsed/>
    <w:rsid w:val="006710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71062"/>
    <w:rPr>
      <w:rFonts w:asciiTheme="majorHAnsi" w:eastAsiaTheme="majorEastAsia" w:hAnsiTheme="majorHAnsi" w:cstheme="majorBidi"/>
      <w:sz w:val="18"/>
      <w:szCs w:val="18"/>
    </w:rPr>
  </w:style>
  <w:style w:type="paragraph" w:styleId="ad">
    <w:name w:val="header"/>
    <w:basedOn w:val="a"/>
    <w:link w:val="ae"/>
    <w:uiPriority w:val="99"/>
    <w:unhideWhenUsed/>
    <w:rsid w:val="00F6571E"/>
    <w:pPr>
      <w:tabs>
        <w:tab w:val="center" w:pos="4153"/>
        <w:tab w:val="right" w:pos="8306"/>
      </w:tabs>
      <w:snapToGrid w:val="0"/>
    </w:pPr>
    <w:rPr>
      <w:sz w:val="20"/>
      <w:szCs w:val="20"/>
    </w:rPr>
  </w:style>
  <w:style w:type="character" w:customStyle="1" w:styleId="ae">
    <w:name w:val="頁首 字元"/>
    <w:basedOn w:val="a0"/>
    <w:link w:val="ad"/>
    <w:uiPriority w:val="99"/>
    <w:rsid w:val="00F6571E"/>
    <w:rPr>
      <w:rFonts w:ascii="Times New Roman" w:eastAsia="新細明體" w:hAnsi="Times New Roman" w:cs="Times New Roman"/>
      <w:sz w:val="20"/>
      <w:szCs w:val="20"/>
    </w:rPr>
  </w:style>
  <w:style w:type="paragraph" w:customStyle="1" w:styleId="1">
    <w:name w:val="條1"/>
    <w:basedOn w:val="a"/>
    <w:next w:val="a"/>
    <w:rsid w:val="006E1B8D"/>
    <w:pPr>
      <w:kinsoku w:val="0"/>
      <w:overflowPunct w:val="0"/>
      <w:spacing w:line="500" w:lineRule="exact"/>
      <w:ind w:left="375" w:hangingChars="375" w:hanging="375"/>
      <w:jc w:val="both"/>
      <w:textAlignment w:val="center"/>
    </w:pPr>
    <w:rPr>
      <w:rFonts w:eastAsia="華康細明體"/>
    </w:rPr>
  </w:style>
  <w:style w:type="paragraph" w:customStyle="1" w:styleId="10">
    <w:name w:val="條文內文1"/>
    <w:basedOn w:val="a8"/>
    <w:next w:val="a"/>
    <w:rsid w:val="006E1B8D"/>
  </w:style>
  <w:style w:type="paragraph" w:customStyle="1" w:styleId="af">
    <w:name w:val="項"/>
    <w:basedOn w:val="a"/>
    <w:next w:val="a"/>
    <w:rsid w:val="006E1B8D"/>
    <w:pPr>
      <w:kinsoku w:val="0"/>
      <w:overflowPunct w:val="0"/>
      <w:spacing w:line="500" w:lineRule="exact"/>
      <w:ind w:left="100" w:hangingChars="100" w:hanging="100"/>
      <w:jc w:val="both"/>
      <w:textAlignment w:val="center"/>
    </w:pPr>
    <w:rPr>
      <w:rFonts w:eastAsia="華康細明體"/>
    </w:rPr>
  </w:style>
  <w:style w:type="paragraph" w:customStyle="1" w:styleId="af0">
    <w:name w:val="目"/>
    <w:basedOn w:val="a"/>
    <w:next w:val="a"/>
    <w:rsid w:val="006E1B8D"/>
    <w:pPr>
      <w:kinsoku w:val="0"/>
      <w:overflowPunct w:val="0"/>
      <w:spacing w:line="500" w:lineRule="exact"/>
      <w:ind w:left="100" w:hangingChars="100" w:hanging="100"/>
      <w:jc w:val="both"/>
      <w:textAlignment w:val="center"/>
    </w:pPr>
    <w:rPr>
      <w:rFonts w:eastAsia="華康細明體"/>
    </w:rPr>
  </w:style>
  <w:style w:type="table" w:styleId="af1">
    <w:name w:val="Table Grid"/>
    <w:basedOn w:val="a1"/>
    <w:uiPriority w:val="39"/>
    <w:rsid w:val="007D0EA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4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5D4F"/>
    <w:pPr>
      <w:tabs>
        <w:tab w:val="center" w:pos="4153"/>
        <w:tab w:val="right" w:pos="8306"/>
      </w:tabs>
      <w:snapToGrid w:val="0"/>
    </w:pPr>
    <w:rPr>
      <w:sz w:val="20"/>
      <w:szCs w:val="20"/>
    </w:rPr>
  </w:style>
  <w:style w:type="character" w:customStyle="1" w:styleId="a4">
    <w:name w:val="頁尾 字元"/>
    <w:basedOn w:val="a0"/>
    <w:link w:val="a3"/>
    <w:uiPriority w:val="99"/>
    <w:rsid w:val="007F5D4F"/>
    <w:rPr>
      <w:rFonts w:ascii="Times New Roman" w:eastAsia="新細明體" w:hAnsi="Times New Roman" w:cs="Times New Roman"/>
      <w:sz w:val="20"/>
      <w:szCs w:val="20"/>
    </w:rPr>
  </w:style>
  <w:style w:type="paragraph" w:styleId="a5">
    <w:name w:val="List Paragraph"/>
    <w:basedOn w:val="a"/>
    <w:uiPriority w:val="34"/>
    <w:qFormat/>
    <w:rsid w:val="007F5D4F"/>
    <w:pPr>
      <w:ind w:leftChars="200" w:left="480"/>
    </w:pPr>
  </w:style>
  <w:style w:type="paragraph" w:customStyle="1" w:styleId="a6">
    <w:name w:val="款"/>
    <w:basedOn w:val="a"/>
    <w:rsid w:val="00671062"/>
    <w:pPr>
      <w:kinsoku w:val="0"/>
      <w:overflowPunct w:val="0"/>
      <w:spacing w:line="500" w:lineRule="exact"/>
      <w:ind w:leftChars="800" w:left="900" w:hangingChars="100" w:hanging="100"/>
      <w:jc w:val="both"/>
      <w:textAlignment w:val="center"/>
    </w:pPr>
    <w:rPr>
      <w:rFonts w:eastAsia="華康細明體"/>
      <w:bCs/>
    </w:rPr>
  </w:style>
  <w:style w:type="paragraph" w:customStyle="1" w:styleId="a7">
    <w:name w:val="條"/>
    <w:basedOn w:val="a"/>
    <w:rsid w:val="00671062"/>
    <w:pPr>
      <w:kinsoku w:val="0"/>
      <w:overflowPunct w:val="0"/>
      <w:spacing w:line="500" w:lineRule="exact"/>
      <w:ind w:left="500" w:hangingChars="500" w:hanging="500"/>
      <w:jc w:val="both"/>
      <w:textAlignment w:val="center"/>
    </w:pPr>
    <w:rPr>
      <w:rFonts w:eastAsia="華康細明體"/>
      <w:bCs/>
    </w:rPr>
  </w:style>
  <w:style w:type="paragraph" w:customStyle="1" w:styleId="a8">
    <w:name w:val="條文內文"/>
    <w:basedOn w:val="a"/>
    <w:next w:val="a"/>
    <w:rsid w:val="00671062"/>
    <w:pPr>
      <w:kinsoku w:val="0"/>
      <w:overflowPunct w:val="0"/>
      <w:spacing w:line="500" w:lineRule="exact"/>
      <w:ind w:leftChars="575" w:left="575" w:firstLineChars="200" w:firstLine="200"/>
      <w:jc w:val="both"/>
      <w:textAlignment w:val="center"/>
    </w:pPr>
    <w:rPr>
      <w:rFonts w:eastAsia="華康細明體"/>
    </w:rPr>
  </w:style>
  <w:style w:type="paragraph" w:styleId="a9">
    <w:name w:val="No Spacing"/>
    <w:link w:val="aa"/>
    <w:uiPriority w:val="1"/>
    <w:qFormat/>
    <w:rsid w:val="00671062"/>
    <w:rPr>
      <w:kern w:val="0"/>
      <w:sz w:val="22"/>
    </w:rPr>
  </w:style>
  <w:style w:type="character" w:customStyle="1" w:styleId="aa">
    <w:name w:val="無間距 字元"/>
    <w:basedOn w:val="a0"/>
    <w:link w:val="a9"/>
    <w:uiPriority w:val="1"/>
    <w:rsid w:val="00671062"/>
    <w:rPr>
      <w:kern w:val="0"/>
      <w:sz w:val="22"/>
    </w:rPr>
  </w:style>
  <w:style w:type="paragraph" w:styleId="ab">
    <w:name w:val="Balloon Text"/>
    <w:basedOn w:val="a"/>
    <w:link w:val="ac"/>
    <w:uiPriority w:val="99"/>
    <w:semiHidden/>
    <w:unhideWhenUsed/>
    <w:rsid w:val="006710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71062"/>
    <w:rPr>
      <w:rFonts w:asciiTheme="majorHAnsi" w:eastAsiaTheme="majorEastAsia" w:hAnsiTheme="majorHAnsi" w:cstheme="majorBidi"/>
      <w:sz w:val="18"/>
      <w:szCs w:val="18"/>
    </w:rPr>
  </w:style>
  <w:style w:type="paragraph" w:styleId="ad">
    <w:name w:val="header"/>
    <w:basedOn w:val="a"/>
    <w:link w:val="ae"/>
    <w:uiPriority w:val="99"/>
    <w:unhideWhenUsed/>
    <w:rsid w:val="00F6571E"/>
    <w:pPr>
      <w:tabs>
        <w:tab w:val="center" w:pos="4153"/>
        <w:tab w:val="right" w:pos="8306"/>
      </w:tabs>
      <w:snapToGrid w:val="0"/>
    </w:pPr>
    <w:rPr>
      <w:sz w:val="20"/>
      <w:szCs w:val="20"/>
    </w:rPr>
  </w:style>
  <w:style w:type="character" w:customStyle="1" w:styleId="ae">
    <w:name w:val="頁首 字元"/>
    <w:basedOn w:val="a0"/>
    <w:link w:val="ad"/>
    <w:uiPriority w:val="99"/>
    <w:rsid w:val="00F6571E"/>
    <w:rPr>
      <w:rFonts w:ascii="Times New Roman" w:eastAsia="新細明體" w:hAnsi="Times New Roman" w:cs="Times New Roman"/>
      <w:sz w:val="20"/>
      <w:szCs w:val="20"/>
    </w:rPr>
  </w:style>
  <w:style w:type="paragraph" w:customStyle="1" w:styleId="1">
    <w:name w:val="條1"/>
    <w:basedOn w:val="a"/>
    <w:next w:val="a"/>
    <w:rsid w:val="006E1B8D"/>
    <w:pPr>
      <w:kinsoku w:val="0"/>
      <w:overflowPunct w:val="0"/>
      <w:spacing w:line="500" w:lineRule="exact"/>
      <w:ind w:left="375" w:hangingChars="375" w:hanging="375"/>
      <w:jc w:val="both"/>
      <w:textAlignment w:val="center"/>
    </w:pPr>
    <w:rPr>
      <w:rFonts w:eastAsia="華康細明體"/>
    </w:rPr>
  </w:style>
  <w:style w:type="paragraph" w:customStyle="1" w:styleId="10">
    <w:name w:val="條文內文1"/>
    <w:basedOn w:val="a8"/>
    <w:next w:val="a"/>
    <w:rsid w:val="006E1B8D"/>
  </w:style>
  <w:style w:type="paragraph" w:customStyle="1" w:styleId="af">
    <w:name w:val="項"/>
    <w:basedOn w:val="a"/>
    <w:next w:val="a"/>
    <w:rsid w:val="006E1B8D"/>
    <w:pPr>
      <w:kinsoku w:val="0"/>
      <w:overflowPunct w:val="0"/>
      <w:spacing w:line="500" w:lineRule="exact"/>
      <w:ind w:left="100" w:hangingChars="100" w:hanging="100"/>
      <w:jc w:val="both"/>
      <w:textAlignment w:val="center"/>
    </w:pPr>
    <w:rPr>
      <w:rFonts w:eastAsia="華康細明體"/>
    </w:rPr>
  </w:style>
  <w:style w:type="paragraph" w:customStyle="1" w:styleId="af0">
    <w:name w:val="目"/>
    <w:basedOn w:val="a"/>
    <w:next w:val="a"/>
    <w:rsid w:val="006E1B8D"/>
    <w:pPr>
      <w:kinsoku w:val="0"/>
      <w:overflowPunct w:val="0"/>
      <w:spacing w:line="500" w:lineRule="exact"/>
      <w:ind w:left="100" w:hangingChars="100" w:hanging="100"/>
      <w:jc w:val="both"/>
      <w:textAlignment w:val="center"/>
    </w:pPr>
    <w:rPr>
      <w:rFonts w:eastAsia="華康細明體"/>
    </w:rPr>
  </w:style>
  <w:style w:type="table" w:styleId="af1">
    <w:name w:val="Table Grid"/>
    <w:basedOn w:val="a1"/>
    <w:uiPriority w:val="39"/>
    <w:rsid w:val="007D0EA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39776">
      <w:bodyDiv w:val="1"/>
      <w:marLeft w:val="0"/>
      <w:marRight w:val="0"/>
      <w:marTop w:val="0"/>
      <w:marBottom w:val="0"/>
      <w:divBdr>
        <w:top w:val="none" w:sz="0" w:space="0" w:color="auto"/>
        <w:left w:val="none" w:sz="0" w:space="0" w:color="auto"/>
        <w:bottom w:val="none" w:sz="0" w:space="0" w:color="auto"/>
        <w:right w:val="none" w:sz="0" w:space="0" w:color="auto"/>
      </w:divBdr>
    </w:div>
    <w:div w:id="1646354606">
      <w:bodyDiv w:val="1"/>
      <w:marLeft w:val="0"/>
      <w:marRight w:val="0"/>
      <w:marTop w:val="0"/>
      <w:marBottom w:val="0"/>
      <w:divBdr>
        <w:top w:val="none" w:sz="0" w:space="0" w:color="auto"/>
        <w:left w:val="none" w:sz="0" w:space="0" w:color="auto"/>
        <w:bottom w:val="none" w:sz="0" w:space="0" w:color="auto"/>
        <w:right w:val="none" w:sz="0" w:space="0" w:color="auto"/>
      </w:divBdr>
    </w:div>
    <w:div w:id="17504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887EFFDF144993BC5B68FAAFF40391"/>
        <w:category>
          <w:name w:val="一般"/>
          <w:gallery w:val="placeholder"/>
        </w:category>
        <w:types>
          <w:type w:val="bbPlcHdr"/>
        </w:types>
        <w:behaviors>
          <w:behavior w:val="content"/>
        </w:behaviors>
        <w:guid w:val="{4EC73187-694A-4E75-823D-89FD094E5DB6}"/>
      </w:docPartPr>
      <w:docPartBody>
        <w:p w:rsidR="00000000" w:rsidRDefault="00EB49DC" w:rsidP="00EB49DC">
          <w:pPr>
            <w:pStyle w:val="39887EFFDF144993BC5B68FAAFF40391"/>
          </w:pPr>
          <w:r>
            <w:rPr>
              <w:rFonts w:asciiTheme="majorHAnsi" w:eastAsiaTheme="majorEastAsia" w:hAnsiTheme="majorHAnsi" w:cstheme="majorBidi"/>
              <w:sz w:val="80"/>
              <w:szCs w:val="80"/>
              <w:lang w:val="zh-TW"/>
            </w:rPr>
            <w:t>[</w:t>
          </w:r>
          <w:r>
            <w:rPr>
              <w:rFonts w:asciiTheme="majorHAnsi" w:eastAsiaTheme="majorEastAsia" w:hAnsiTheme="majorHAnsi" w:cstheme="majorBidi"/>
              <w:sz w:val="80"/>
              <w:szCs w:val="80"/>
              <w:lang w:val="zh-TW"/>
            </w:rPr>
            <w:t>鍵入文件標題</w:t>
          </w:r>
          <w:r>
            <w:rPr>
              <w:rFonts w:asciiTheme="majorHAnsi" w:eastAsiaTheme="majorEastAsia" w:hAnsiTheme="majorHAnsi" w:cstheme="majorBidi"/>
              <w:sz w:val="80"/>
              <w:szCs w:val="80"/>
              <w:lang w:val="zh-TW"/>
            </w:rPr>
            <w:t>]</w:t>
          </w:r>
        </w:p>
      </w:docPartBody>
    </w:docPart>
    <w:docPart>
      <w:docPartPr>
        <w:name w:val="8C0757209EDF4E7B8E2E415EBC9CFE1D"/>
        <w:category>
          <w:name w:val="一般"/>
          <w:gallery w:val="placeholder"/>
        </w:category>
        <w:types>
          <w:type w:val="bbPlcHdr"/>
        </w:types>
        <w:behaviors>
          <w:behavior w:val="content"/>
        </w:behaviors>
        <w:guid w:val="{5DB81CD7-0D89-4577-842D-A850CCDA5A9B}"/>
      </w:docPartPr>
      <w:docPartBody>
        <w:p w:rsidR="00000000" w:rsidRDefault="00EB49DC" w:rsidP="00EB49DC">
          <w:pPr>
            <w:pStyle w:val="8C0757209EDF4E7B8E2E415EBC9CFE1D"/>
          </w:pPr>
          <w:r>
            <w:rPr>
              <w:rFonts w:asciiTheme="majorHAnsi" w:eastAsiaTheme="majorEastAsia" w:hAnsiTheme="majorHAnsi" w:cstheme="majorBidi"/>
              <w:sz w:val="44"/>
              <w:szCs w:val="44"/>
              <w:lang w:val="zh-TW"/>
            </w:rPr>
            <w:t>[</w:t>
          </w:r>
          <w:r>
            <w:rPr>
              <w:rFonts w:asciiTheme="majorHAnsi" w:eastAsiaTheme="majorEastAsia" w:hAnsiTheme="majorHAnsi" w:cstheme="majorBidi"/>
              <w:sz w:val="44"/>
              <w:szCs w:val="44"/>
              <w:lang w:val="zh-TW"/>
            </w:rPr>
            <w:t>鍵入文件副標題</w:t>
          </w:r>
          <w:r>
            <w:rPr>
              <w:rFonts w:asciiTheme="majorHAnsi" w:eastAsiaTheme="majorEastAsia" w:hAnsiTheme="majorHAnsi" w:cstheme="majorBidi"/>
              <w:sz w:val="44"/>
              <w:szCs w:val="44"/>
              <w:lang w:val="zh-TW"/>
            </w:rPr>
            <w:t>]</w:t>
          </w:r>
        </w:p>
      </w:docPartBody>
    </w:docPart>
    <w:docPart>
      <w:docPartPr>
        <w:name w:val="BAC6250199114C2FB00304B95B90CFD5"/>
        <w:category>
          <w:name w:val="一般"/>
          <w:gallery w:val="placeholder"/>
        </w:category>
        <w:types>
          <w:type w:val="bbPlcHdr"/>
        </w:types>
        <w:behaviors>
          <w:behavior w:val="content"/>
        </w:behaviors>
        <w:guid w:val="{2B28F4C9-D8D4-4707-83D1-3A49CC14CF5A}"/>
      </w:docPartPr>
      <w:docPartBody>
        <w:p w:rsidR="00000000" w:rsidRDefault="00EB49DC" w:rsidP="00EB49DC">
          <w:pPr>
            <w:pStyle w:val="BAC6250199114C2FB00304B95B90CFD5"/>
          </w:pPr>
          <w:r>
            <w:rPr>
              <w:b/>
              <w:bCs/>
              <w:lang w:val="zh-TW"/>
            </w:rPr>
            <w:t>[</w:t>
          </w:r>
          <w:r>
            <w:rPr>
              <w:b/>
              <w:bCs/>
              <w:lang w:val="zh-TW"/>
            </w:rPr>
            <w:t>鍵入作者名稱</w:t>
          </w:r>
          <w:r>
            <w:rPr>
              <w:b/>
              <w:bCs/>
              <w:lang w:val="zh-TW"/>
            </w:rPr>
            <w:t>]</w:t>
          </w:r>
        </w:p>
      </w:docPartBody>
    </w:docPart>
    <w:docPart>
      <w:docPartPr>
        <w:name w:val="FA3E568BDF7F454ABD3B05680E3095AB"/>
        <w:category>
          <w:name w:val="一般"/>
          <w:gallery w:val="placeholder"/>
        </w:category>
        <w:types>
          <w:type w:val="bbPlcHdr"/>
        </w:types>
        <w:behaviors>
          <w:behavior w:val="content"/>
        </w:behaviors>
        <w:guid w:val="{67ABC0DA-352C-4BBF-B69C-8FA9CB5EADAD}"/>
      </w:docPartPr>
      <w:docPartBody>
        <w:p w:rsidR="00000000" w:rsidRDefault="00EB49DC" w:rsidP="00EB49DC">
          <w:pPr>
            <w:pStyle w:val="FA3E568BDF7F454ABD3B05680E3095AB"/>
          </w:pPr>
          <w:r>
            <w:rPr>
              <w:b/>
              <w:bCs/>
              <w:lang w:val="zh-TW"/>
            </w:rPr>
            <w:t>[</w:t>
          </w:r>
          <w:r>
            <w:rPr>
              <w:b/>
              <w:bCs/>
              <w:lang w:val="zh-TW"/>
            </w:rPr>
            <w:t>挑選日期</w:t>
          </w:r>
          <w:r>
            <w:rPr>
              <w:b/>
              <w:bCs/>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DC"/>
    <w:rsid w:val="00EB4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A917A48E1D449299D30245AEFB974F">
    <w:name w:val="1DA917A48E1D449299D30245AEFB974F"/>
    <w:rsid w:val="00EB49DC"/>
    <w:pPr>
      <w:widowControl w:val="0"/>
    </w:pPr>
  </w:style>
  <w:style w:type="paragraph" w:customStyle="1" w:styleId="1DDB6D06B2374039AA6771FD1B5A07DA">
    <w:name w:val="1DDB6D06B2374039AA6771FD1B5A07DA"/>
    <w:rsid w:val="00EB49DC"/>
    <w:pPr>
      <w:widowControl w:val="0"/>
    </w:pPr>
  </w:style>
  <w:style w:type="paragraph" w:customStyle="1" w:styleId="BBA29A71E48E41FEBF70F4913506B269">
    <w:name w:val="BBA29A71E48E41FEBF70F4913506B269"/>
    <w:rsid w:val="00EB49DC"/>
    <w:pPr>
      <w:widowControl w:val="0"/>
    </w:pPr>
  </w:style>
  <w:style w:type="paragraph" w:customStyle="1" w:styleId="C88E2F07F094481890BA091856F4C00F">
    <w:name w:val="C88E2F07F094481890BA091856F4C00F"/>
    <w:rsid w:val="00EB49DC"/>
    <w:pPr>
      <w:widowControl w:val="0"/>
    </w:pPr>
  </w:style>
  <w:style w:type="paragraph" w:customStyle="1" w:styleId="45BC8446F7284A6BB43F60531C12CF1B">
    <w:name w:val="45BC8446F7284A6BB43F60531C12CF1B"/>
    <w:rsid w:val="00EB49DC"/>
    <w:pPr>
      <w:widowControl w:val="0"/>
    </w:pPr>
  </w:style>
  <w:style w:type="paragraph" w:customStyle="1" w:styleId="BC7CF4C5D36D42E6B0FF46C500416804">
    <w:name w:val="BC7CF4C5D36D42E6B0FF46C500416804"/>
    <w:rsid w:val="00EB49DC"/>
    <w:pPr>
      <w:widowControl w:val="0"/>
    </w:pPr>
  </w:style>
  <w:style w:type="paragraph" w:customStyle="1" w:styleId="39887EFFDF144993BC5B68FAAFF40391">
    <w:name w:val="39887EFFDF144993BC5B68FAAFF40391"/>
    <w:rsid w:val="00EB49DC"/>
    <w:pPr>
      <w:widowControl w:val="0"/>
    </w:pPr>
  </w:style>
  <w:style w:type="paragraph" w:customStyle="1" w:styleId="8C0757209EDF4E7B8E2E415EBC9CFE1D">
    <w:name w:val="8C0757209EDF4E7B8E2E415EBC9CFE1D"/>
    <w:rsid w:val="00EB49DC"/>
    <w:pPr>
      <w:widowControl w:val="0"/>
    </w:pPr>
  </w:style>
  <w:style w:type="paragraph" w:customStyle="1" w:styleId="BAC6250199114C2FB00304B95B90CFD5">
    <w:name w:val="BAC6250199114C2FB00304B95B90CFD5"/>
    <w:rsid w:val="00EB49DC"/>
    <w:pPr>
      <w:widowControl w:val="0"/>
    </w:pPr>
  </w:style>
  <w:style w:type="paragraph" w:customStyle="1" w:styleId="FA3E568BDF7F454ABD3B05680E3095AB">
    <w:name w:val="FA3E568BDF7F454ABD3B05680E3095AB"/>
    <w:rsid w:val="00EB49DC"/>
    <w:pPr>
      <w:widowControl w:val="0"/>
    </w:pPr>
  </w:style>
  <w:style w:type="paragraph" w:customStyle="1" w:styleId="977863CEEF5E402194991C9E27A2078D">
    <w:name w:val="977863CEEF5E402194991C9E27A2078D"/>
    <w:rsid w:val="00EB49DC"/>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A917A48E1D449299D30245AEFB974F">
    <w:name w:val="1DA917A48E1D449299D30245AEFB974F"/>
    <w:rsid w:val="00EB49DC"/>
    <w:pPr>
      <w:widowControl w:val="0"/>
    </w:pPr>
  </w:style>
  <w:style w:type="paragraph" w:customStyle="1" w:styleId="1DDB6D06B2374039AA6771FD1B5A07DA">
    <w:name w:val="1DDB6D06B2374039AA6771FD1B5A07DA"/>
    <w:rsid w:val="00EB49DC"/>
    <w:pPr>
      <w:widowControl w:val="0"/>
    </w:pPr>
  </w:style>
  <w:style w:type="paragraph" w:customStyle="1" w:styleId="BBA29A71E48E41FEBF70F4913506B269">
    <w:name w:val="BBA29A71E48E41FEBF70F4913506B269"/>
    <w:rsid w:val="00EB49DC"/>
    <w:pPr>
      <w:widowControl w:val="0"/>
    </w:pPr>
  </w:style>
  <w:style w:type="paragraph" w:customStyle="1" w:styleId="C88E2F07F094481890BA091856F4C00F">
    <w:name w:val="C88E2F07F094481890BA091856F4C00F"/>
    <w:rsid w:val="00EB49DC"/>
    <w:pPr>
      <w:widowControl w:val="0"/>
    </w:pPr>
  </w:style>
  <w:style w:type="paragraph" w:customStyle="1" w:styleId="45BC8446F7284A6BB43F60531C12CF1B">
    <w:name w:val="45BC8446F7284A6BB43F60531C12CF1B"/>
    <w:rsid w:val="00EB49DC"/>
    <w:pPr>
      <w:widowControl w:val="0"/>
    </w:pPr>
  </w:style>
  <w:style w:type="paragraph" w:customStyle="1" w:styleId="BC7CF4C5D36D42E6B0FF46C500416804">
    <w:name w:val="BC7CF4C5D36D42E6B0FF46C500416804"/>
    <w:rsid w:val="00EB49DC"/>
    <w:pPr>
      <w:widowControl w:val="0"/>
    </w:pPr>
  </w:style>
  <w:style w:type="paragraph" w:customStyle="1" w:styleId="39887EFFDF144993BC5B68FAAFF40391">
    <w:name w:val="39887EFFDF144993BC5B68FAAFF40391"/>
    <w:rsid w:val="00EB49DC"/>
    <w:pPr>
      <w:widowControl w:val="0"/>
    </w:pPr>
  </w:style>
  <w:style w:type="paragraph" w:customStyle="1" w:styleId="8C0757209EDF4E7B8E2E415EBC9CFE1D">
    <w:name w:val="8C0757209EDF4E7B8E2E415EBC9CFE1D"/>
    <w:rsid w:val="00EB49DC"/>
    <w:pPr>
      <w:widowControl w:val="0"/>
    </w:pPr>
  </w:style>
  <w:style w:type="paragraph" w:customStyle="1" w:styleId="BAC6250199114C2FB00304B95B90CFD5">
    <w:name w:val="BAC6250199114C2FB00304B95B90CFD5"/>
    <w:rsid w:val="00EB49DC"/>
    <w:pPr>
      <w:widowControl w:val="0"/>
    </w:pPr>
  </w:style>
  <w:style w:type="paragraph" w:customStyle="1" w:styleId="FA3E568BDF7F454ABD3B05680E3095AB">
    <w:name w:val="FA3E568BDF7F454ABD3B05680E3095AB"/>
    <w:rsid w:val="00EB49DC"/>
    <w:pPr>
      <w:widowControl w:val="0"/>
    </w:pPr>
  </w:style>
  <w:style w:type="paragraph" w:customStyle="1" w:styleId="977863CEEF5E402194991C9E27A2078D">
    <w:name w:val="977863CEEF5E402194991C9E27A2078D"/>
    <w:rsid w:val="00EB49D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106/6/27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公務人員退休資遣撫卹法</dc:title>
  <dc:subject>106.6.27三讀通過重點規定</dc:subject>
  <dc:creator>退撫司</dc:creator>
  <cp:lastModifiedBy>鄭淑芬</cp:lastModifiedBy>
  <cp:revision>10</cp:revision>
  <dcterms:created xsi:type="dcterms:W3CDTF">2017-06-27T13:25:00Z</dcterms:created>
  <dcterms:modified xsi:type="dcterms:W3CDTF">2017-06-27T13:55:00Z</dcterms:modified>
</cp:coreProperties>
</file>